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黑体" w:hAnsi="黑体" w:eastAsia="黑体" w:cs="Times New Roman"/>
          <w:bCs/>
          <w:sz w:val="32"/>
          <w:szCs w:val="32"/>
          <w:lang w:eastAsia="zh-CN"/>
        </w:rPr>
      </w:pPr>
      <w:r>
        <w:rPr>
          <w:rFonts w:hint="eastAsia" w:ascii="黑体" w:hAnsi="黑体" w:eastAsia="黑体" w:cs="Times New Roman"/>
          <w:bCs/>
          <w:sz w:val="32"/>
          <w:szCs w:val="32"/>
        </w:rPr>
        <w:t>附件</w:t>
      </w:r>
      <w:r>
        <w:rPr>
          <w:rFonts w:hint="eastAsia" w:ascii="黑体" w:hAnsi="黑体" w:eastAsia="黑体" w:cs="Times New Roman"/>
          <w:bCs/>
          <w:sz w:val="32"/>
          <w:szCs w:val="32"/>
          <w:lang w:val="en-US" w:eastAsia="zh-CN"/>
        </w:rPr>
        <w:t>3</w:t>
      </w:r>
    </w:p>
    <w:p>
      <w:pPr>
        <w:spacing w:line="480" w:lineRule="exact"/>
        <w:jc w:val="center"/>
        <w:rPr>
          <w:rFonts w:ascii="华文中宋" w:hAnsi="华文中宋" w:eastAsia="华文中宋" w:cs="Times New Roman"/>
          <w:b/>
          <w:sz w:val="44"/>
          <w:szCs w:val="44"/>
        </w:rPr>
      </w:pPr>
    </w:p>
    <w:p>
      <w:pPr>
        <w:spacing w:line="480" w:lineRule="exact"/>
        <w:jc w:val="center"/>
        <w:rPr>
          <w:rFonts w:ascii="华文中宋" w:hAnsi="华文中宋" w:eastAsia="华文中宋" w:cs="Times New Roman"/>
          <w:b/>
          <w:sz w:val="44"/>
          <w:szCs w:val="44"/>
        </w:rPr>
      </w:pPr>
      <w:r>
        <w:rPr>
          <w:rFonts w:hint="eastAsia" w:ascii="华文中宋" w:hAnsi="华文中宋" w:eastAsia="华文中宋" w:cs="Times New Roman"/>
          <w:b/>
          <w:sz w:val="44"/>
          <w:szCs w:val="44"/>
        </w:rPr>
        <w:t>山东省加油站诚信计量评价细则</w:t>
      </w:r>
    </w:p>
    <w:p>
      <w:pPr>
        <w:spacing w:line="480" w:lineRule="exact"/>
        <w:jc w:val="center"/>
        <w:rPr>
          <w:rFonts w:ascii="楷体_GB2312" w:hAnsi="华文中宋" w:eastAsia="楷体_GB2312" w:cs="Times New Roman"/>
          <w:bCs/>
          <w:sz w:val="32"/>
          <w:szCs w:val="32"/>
        </w:rPr>
      </w:pPr>
      <w:r>
        <w:rPr>
          <w:rFonts w:hint="eastAsia" w:ascii="楷体_GB2312" w:hAnsi="华文中宋" w:eastAsia="楷体_GB2312" w:cs="Times New Roman"/>
          <w:bCs/>
          <w:sz w:val="32"/>
          <w:szCs w:val="32"/>
        </w:rPr>
        <w:t xml:space="preserve"> </w:t>
      </w:r>
    </w:p>
    <w:p>
      <w:pPr>
        <w:spacing w:line="480" w:lineRule="exact"/>
        <w:rPr>
          <w:rFonts w:ascii="华文中宋" w:hAnsi="华文中宋" w:eastAsia="华文中宋" w:cs="Times New Roman"/>
          <w:b/>
          <w:sz w:val="44"/>
          <w:szCs w:val="44"/>
        </w:rPr>
      </w:pPr>
    </w:p>
    <w:p>
      <w:pPr>
        <w:pStyle w:val="16"/>
        <w:numPr>
          <w:ilvl w:val="0"/>
          <w:numId w:val="1"/>
        </w:numPr>
        <w:spacing w:line="480" w:lineRule="exact"/>
        <w:ind w:firstLineChars="0"/>
        <w:rPr>
          <w:rFonts w:ascii="仿宋_GB2312" w:eastAsia="仿宋_GB2312"/>
          <w:b/>
          <w:bCs/>
          <w:sz w:val="32"/>
          <w:szCs w:val="32"/>
        </w:rPr>
      </w:pPr>
      <w:r>
        <w:rPr>
          <w:rFonts w:hint="eastAsia" w:ascii="仿宋_GB2312" w:eastAsia="仿宋_GB2312"/>
          <w:b/>
          <w:bCs/>
          <w:sz w:val="32"/>
          <w:szCs w:val="32"/>
        </w:rPr>
        <w:t>适用范围</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本文件适用于山东省行政区域内加油站诚信计量的评价。加油站相关商（协）会对行业计量的建设、管理和评价可参照执行。</w:t>
      </w:r>
    </w:p>
    <w:p>
      <w:pPr>
        <w:spacing w:line="480" w:lineRule="exact"/>
        <w:rPr>
          <w:rFonts w:ascii="仿宋_GB2312" w:eastAsia="仿宋_GB2312"/>
          <w:b/>
          <w:bCs/>
          <w:sz w:val="32"/>
          <w:szCs w:val="32"/>
        </w:rPr>
      </w:pPr>
      <w:r>
        <w:rPr>
          <w:rFonts w:hint="eastAsia" w:ascii="仿宋_GB2312" w:eastAsia="仿宋_GB2312"/>
          <w:b/>
          <w:bCs/>
          <w:sz w:val="32"/>
          <w:szCs w:val="32"/>
        </w:rPr>
        <w:t>2  引用文件</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G</w:t>
      </w:r>
      <w:r>
        <w:rPr>
          <w:rFonts w:ascii="仿宋_GB2312" w:eastAsia="仿宋_GB2312"/>
          <w:sz w:val="32"/>
          <w:szCs w:val="32"/>
        </w:rPr>
        <w:t xml:space="preserve">B 3100  </w:t>
      </w:r>
      <w:r>
        <w:rPr>
          <w:rFonts w:hint="eastAsia" w:ascii="仿宋_GB2312" w:eastAsia="仿宋_GB2312"/>
          <w:sz w:val="32"/>
          <w:szCs w:val="32"/>
        </w:rPr>
        <w:t>国际单位制及其应用</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JJG</w:t>
      </w:r>
      <w:r>
        <w:rPr>
          <w:rFonts w:ascii="仿宋_GB2312" w:eastAsia="仿宋_GB2312"/>
          <w:sz w:val="32"/>
          <w:szCs w:val="32"/>
        </w:rPr>
        <w:t xml:space="preserve"> </w:t>
      </w:r>
      <w:r>
        <w:rPr>
          <w:rFonts w:hint="eastAsia" w:ascii="仿宋_GB2312" w:eastAsia="仿宋_GB2312"/>
          <w:sz w:val="32"/>
          <w:szCs w:val="32"/>
        </w:rPr>
        <w:t xml:space="preserve">443 </w:t>
      </w:r>
      <w:r>
        <w:rPr>
          <w:rFonts w:ascii="仿宋_GB2312" w:eastAsia="仿宋_GB2312"/>
          <w:sz w:val="32"/>
          <w:szCs w:val="32"/>
        </w:rPr>
        <w:t xml:space="preserve"> </w:t>
      </w:r>
      <w:r>
        <w:rPr>
          <w:rFonts w:hint="eastAsia" w:ascii="仿宋_GB2312" w:eastAsia="仿宋_GB2312"/>
          <w:sz w:val="32"/>
          <w:szCs w:val="32"/>
        </w:rPr>
        <w:t xml:space="preserve">燃油加油机计量检定规程 </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J</w:t>
      </w:r>
      <w:r>
        <w:rPr>
          <w:rFonts w:ascii="仿宋_GB2312" w:eastAsia="仿宋_GB2312"/>
          <w:sz w:val="32"/>
          <w:szCs w:val="32"/>
        </w:rPr>
        <w:t xml:space="preserve">JF 1001  </w:t>
      </w:r>
      <w:r>
        <w:rPr>
          <w:rFonts w:hint="eastAsia" w:ascii="仿宋_GB2312" w:eastAsia="仿宋_GB2312"/>
          <w:sz w:val="32"/>
          <w:szCs w:val="32"/>
        </w:rPr>
        <w:t>通用计量术语及定义</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J</w:t>
      </w:r>
      <w:r>
        <w:rPr>
          <w:rFonts w:ascii="仿宋_GB2312" w:eastAsia="仿宋_GB2312"/>
          <w:sz w:val="32"/>
          <w:szCs w:val="32"/>
        </w:rPr>
        <w:t>JF 1070  定量包装商品净含量计量检验规则</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其他相关行政法规、强制性国家标准、技术规范及规定。</w:t>
      </w:r>
    </w:p>
    <w:p>
      <w:pPr>
        <w:spacing w:line="480" w:lineRule="exact"/>
        <w:rPr>
          <w:rFonts w:ascii="仿宋_GB2312" w:eastAsia="仿宋_GB2312"/>
          <w:sz w:val="32"/>
          <w:szCs w:val="32"/>
        </w:rPr>
      </w:pPr>
      <w:r>
        <w:rPr>
          <w:rFonts w:ascii="仿宋_GB2312" w:eastAsia="仿宋_GB2312"/>
          <w:b/>
          <w:bCs/>
          <w:sz w:val="32"/>
          <w:szCs w:val="32"/>
        </w:rPr>
        <w:t xml:space="preserve">3  </w:t>
      </w:r>
      <w:r>
        <w:rPr>
          <w:rFonts w:hint="eastAsia" w:ascii="仿宋_GB2312" w:eastAsia="仿宋_GB2312"/>
          <w:b/>
          <w:bCs/>
          <w:sz w:val="32"/>
          <w:szCs w:val="32"/>
        </w:rPr>
        <w:t>术语和定义</w:t>
      </w:r>
      <w:r>
        <w:rPr>
          <w:rFonts w:hint="eastAsia" w:ascii="仿宋_GB2312" w:eastAsia="仿宋_GB2312"/>
          <w:sz w:val="32"/>
          <w:szCs w:val="32"/>
        </w:rPr>
        <w:t xml:space="preserve"> </w:t>
      </w:r>
      <w:r>
        <w:rPr>
          <w:rFonts w:ascii="仿宋_GB2312" w:eastAsia="仿宋_GB2312"/>
          <w:sz w:val="32"/>
          <w:szCs w:val="32"/>
        </w:rPr>
        <w:t xml:space="preserve">   </w:t>
      </w:r>
    </w:p>
    <w:p>
      <w:pPr>
        <w:spacing w:line="480" w:lineRule="exact"/>
        <w:rPr>
          <w:rFonts w:ascii="仿宋_GB2312" w:eastAsia="仿宋_GB2312"/>
          <w:sz w:val="32"/>
          <w:szCs w:val="32"/>
        </w:rPr>
      </w:pPr>
      <w:r>
        <w:rPr>
          <w:rFonts w:hint="eastAsia" w:ascii="仿宋_GB2312" w:eastAsia="仿宋_GB2312"/>
          <w:sz w:val="32"/>
          <w:szCs w:val="32"/>
        </w:rPr>
        <w:t>3.1  诚信计量</w:t>
      </w:r>
    </w:p>
    <w:p>
      <w:pPr>
        <w:spacing w:line="480" w:lineRule="exact"/>
        <w:ind w:firstLine="645"/>
        <w:rPr>
          <w:rFonts w:ascii="仿宋_GB2312" w:eastAsia="仿宋_GB2312"/>
          <w:sz w:val="32"/>
          <w:szCs w:val="32"/>
        </w:rPr>
      </w:pPr>
      <w:r>
        <w:rPr>
          <w:rFonts w:hint="eastAsia" w:ascii="仿宋_GB2312" w:eastAsia="仿宋_GB2312"/>
          <w:sz w:val="32"/>
          <w:szCs w:val="32"/>
        </w:rPr>
        <w:t>基于诚实守信原则的计量行为。</w:t>
      </w:r>
    </w:p>
    <w:p>
      <w:pPr>
        <w:spacing w:line="480" w:lineRule="exact"/>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2</w:t>
      </w:r>
      <w:r>
        <w:rPr>
          <w:rFonts w:ascii="仿宋_GB2312" w:eastAsia="仿宋_GB2312"/>
          <w:sz w:val="32"/>
          <w:szCs w:val="32"/>
        </w:rPr>
        <w:t xml:space="preserve">  </w:t>
      </w:r>
      <w:r>
        <w:rPr>
          <w:rFonts w:hint="eastAsia" w:ascii="仿宋_GB2312" w:eastAsia="仿宋_GB2312"/>
          <w:sz w:val="32"/>
          <w:szCs w:val="32"/>
        </w:rPr>
        <w:t>成品油</w:t>
      </w:r>
    </w:p>
    <w:p>
      <w:pPr>
        <w:spacing w:line="480" w:lineRule="exact"/>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汽油、煤油、柴油及其他符合国家产品质量标准、具有相同用途的乙醇汽油和生物柴油等替代燃料。</w:t>
      </w:r>
    </w:p>
    <w:p>
      <w:pPr>
        <w:spacing w:line="480" w:lineRule="exact"/>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3</w:t>
      </w:r>
      <w:r>
        <w:rPr>
          <w:rFonts w:ascii="仿宋_GB2312" w:eastAsia="仿宋_GB2312"/>
          <w:sz w:val="32"/>
          <w:szCs w:val="32"/>
        </w:rPr>
        <w:t xml:space="preserve">  </w:t>
      </w:r>
      <w:r>
        <w:rPr>
          <w:rFonts w:hint="eastAsia" w:ascii="仿宋_GB2312" w:eastAsia="仿宋_GB2312"/>
          <w:sz w:val="32"/>
          <w:szCs w:val="32"/>
        </w:rPr>
        <w:t>(燃油</w:t>
      </w:r>
      <w:r>
        <w:rPr>
          <w:rFonts w:ascii="仿宋_GB2312" w:eastAsia="仿宋_GB2312"/>
          <w:sz w:val="32"/>
          <w:szCs w:val="32"/>
        </w:rPr>
        <w:t>)</w:t>
      </w:r>
      <w:r>
        <w:rPr>
          <w:rFonts w:hint="eastAsia" w:ascii="仿宋_GB2312" w:eastAsia="仿宋_GB2312"/>
          <w:sz w:val="32"/>
          <w:szCs w:val="32"/>
        </w:rPr>
        <w:t>加油机</w:t>
      </w:r>
    </w:p>
    <w:p>
      <w:pPr>
        <w:spacing w:line="480" w:lineRule="exact"/>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用来给车辆添加液体燃料的一种液体体积测量系统，简称加油机。</w:t>
      </w:r>
    </w:p>
    <w:p>
      <w:pPr>
        <w:spacing w:line="480" w:lineRule="exact"/>
        <w:rPr>
          <w:rFonts w:ascii="仿宋_GB2312" w:eastAsia="仿宋_GB2312"/>
          <w:sz w:val="32"/>
          <w:szCs w:val="32"/>
        </w:rPr>
      </w:pPr>
      <w:r>
        <w:rPr>
          <w:rFonts w:hint="eastAsia" w:ascii="仿宋_GB2312" w:eastAsia="仿宋_GB2312"/>
          <w:sz w:val="32"/>
          <w:szCs w:val="32"/>
        </w:rPr>
        <w:t>3.4</w:t>
      </w:r>
      <w:r>
        <w:rPr>
          <w:rFonts w:ascii="仿宋_GB2312" w:eastAsia="仿宋_GB2312"/>
          <w:sz w:val="32"/>
          <w:szCs w:val="32"/>
        </w:rPr>
        <w:t xml:space="preserve">  </w:t>
      </w:r>
      <w:r>
        <w:rPr>
          <w:rFonts w:hint="eastAsia" w:ascii="仿宋_GB2312" w:eastAsia="仿宋_GB2312"/>
          <w:sz w:val="32"/>
          <w:szCs w:val="32"/>
        </w:rPr>
        <w:t>加油站</w:t>
      </w:r>
    </w:p>
    <w:p>
      <w:pPr>
        <w:spacing w:line="480" w:lineRule="exact"/>
        <w:ind w:firstLine="645"/>
        <w:rPr>
          <w:rFonts w:ascii="仿宋_GB2312" w:eastAsia="仿宋_GB2312"/>
          <w:sz w:val="32"/>
          <w:szCs w:val="32"/>
        </w:rPr>
      </w:pPr>
      <w:r>
        <w:rPr>
          <w:rFonts w:hint="eastAsia" w:ascii="仿宋_GB2312" w:eastAsia="仿宋_GB2312"/>
          <w:sz w:val="32"/>
          <w:szCs w:val="32"/>
        </w:rPr>
        <w:t>在固定场所使用燃油加油机等计量器具进行成品油零售经营活动的企业。</w:t>
      </w:r>
    </w:p>
    <w:p>
      <w:pPr>
        <w:spacing w:line="480" w:lineRule="exac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5</w:t>
      </w:r>
      <w:r>
        <w:rPr>
          <w:rFonts w:ascii="仿宋_GB2312" w:eastAsia="仿宋_GB2312"/>
          <w:sz w:val="32"/>
          <w:szCs w:val="32"/>
        </w:rPr>
        <w:t xml:space="preserve">  </w:t>
      </w:r>
      <w:r>
        <w:rPr>
          <w:rFonts w:hint="eastAsia" w:ascii="仿宋_GB2312" w:eastAsia="仿宋_GB2312"/>
          <w:sz w:val="32"/>
          <w:szCs w:val="32"/>
        </w:rPr>
        <w:t xml:space="preserve">定量包装商品  </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以销售为目的，在一定量限范围内具有统一的质量、体积、长度、面积、计数标注等标识内容的预包装商品。</w:t>
      </w:r>
    </w:p>
    <w:p>
      <w:pPr>
        <w:spacing w:line="480" w:lineRule="exact"/>
        <w:rPr>
          <w:rFonts w:ascii="仿宋_GB2312" w:eastAsia="仿宋_GB2312"/>
          <w:b/>
          <w:bCs/>
          <w:sz w:val="32"/>
          <w:szCs w:val="32"/>
        </w:rPr>
      </w:pPr>
      <w:r>
        <w:rPr>
          <w:rFonts w:hint="eastAsia" w:ascii="仿宋_GB2312" w:eastAsia="仿宋_GB2312"/>
          <w:b/>
          <w:bCs/>
          <w:sz w:val="32"/>
          <w:szCs w:val="32"/>
        </w:rPr>
        <w:t>4</w:t>
      </w:r>
      <w:r>
        <w:rPr>
          <w:rFonts w:ascii="仿宋_GB2312" w:eastAsia="仿宋_GB2312"/>
          <w:b/>
          <w:bCs/>
          <w:sz w:val="32"/>
          <w:szCs w:val="32"/>
        </w:rPr>
        <w:t xml:space="preserve">  </w:t>
      </w:r>
      <w:r>
        <w:rPr>
          <w:rFonts w:hint="eastAsia" w:ascii="仿宋_GB2312" w:eastAsia="仿宋_GB2312"/>
          <w:b/>
          <w:bCs/>
          <w:sz w:val="32"/>
          <w:szCs w:val="32"/>
        </w:rPr>
        <w:t>评价内容</w:t>
      </w:r>
    </w:p>
    <w:p>
      <w:pPr>
        <w:spacing w:line="480" w:lineRule="exact"/>
        <w:rPr>
          <w:rFonts w:ascii="仿宋_GB2312" w:eastAsia="仿宋_GB2312"/>
          <w:sz w:val="32"/>
          <w:szCs w:val="32"/>
        </w:rPr>
      </w:pPr>
      <w:r>
        <w:rPr>
          <w:rFonts w:hint="eastAsia" w:ascii="仿宋_GB2312" w:eastAsia="仿宋_GB2312"/>
          <w:sz w:val="32"/>
          <w:szCs w:val="32"/>
        </w:rPr>
        <w:t>4.1</w:t>
      </w:r>
      <w:r>
        <w:rPr>
          <w:rFonts w:ascii="仿宋_GB2312" w:eastAsia="仿宋_GB2312"/>
          <w:sz w:val="32"/>
          <w:szCs w:val="32"/>
        </w:rPr>
        <w:t xml:space="preserve">  </w:t>
      </w:r>
      <w:r>
        <w:rPr>
          <w:rFonts w:hint="eastAsia" w:ascii="仿宋_GB2312" w:eastAsia="仿宋_GB2312"/>
          <w:sz w:val="32"/>
          <w:szCs w:val="32"/>
        </w:rPr>
        <w:t>基本要求</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.1.1  </w:t>
      </w:r>
      <w:r>
        <w:rPr>
          <w:rFonts w:hint="eastAsia" w:ascii="仿宋_GB2312" w:eastAsia="仿宋_GB2312"/>
          <w:sz w:val="32"/>
          <w:szCs w:val="32"/>
        </w:rPr>
        <w:t>应依法取得必要的营业执照、行政许可证并持续保持满足相应的经营条件。</w:t>
      </w:r>
    </w:p>
    <w:p>
      <w:pPr>
        <w:spacing w:line="480" w:lineRule="exact"/>
        <w:rPr>
          <w:rFonts w:ascii="仿宋_GB2312" w:eastAsia="仿宋_GB2312"/>
          <w:sz w:val="32"/>
          <w:szCs w:val="32"/>
        </w:rPr>
      </w:pPr>
      <w:r>
        <w:rPr>
          <w:rFonts w:ascii="仿宋_GB2312" w:eastAsia="仿宋_GB2312"/>
          <w:sz w:val="32"/>
          <w:szCs w:val="32"/>
        </w:rPr>
        <w:t xml:space="preserve">4.1.2  </w:t>
      </w:r>
      <w:r>
        <w:rPr>
          <w:rFonts w:hint="eastAsia" w:ascii="仿宋_GB2312" w:eastAsia="仿宋_GB2312"/>
          <w:sz w:val="32"/>
          <w:szCs w:val="32"/>
        </w:rPr>
        <w:t>应遵守计量法律、法规和规章，制定诚信计量的方针、目标和管理制度，有效组织实施并持续改进，守法经营、诚信服务，自觉接受计量行政主管部门的计量监督。</w:t>
      </w:r>
    </w:p>
    <w:p>
      <w:pPr>
        <w:spacing w:line="480" w:lineRule="exact"/>
        <w:rPr>
          <w:rFonts w:ascii="仿宋_GB2312" w:eastAsia="仿宋_GB2312"/>
          <w:sz w:val="32"/>
          <w:szCs w:val="32"/>
        </w:rPr>
      </w:pPr>
      <w:r>
        <w:rPr>
          <w:rFonts w:ascii="仿宋_GB2312" w:eastAsia="仿宋_GB2312"/>
          <w:sz w:val="32"/>
          <w:szCs w:val="32"/>
        </w:rPr>
        <w:t xml:space="preserve">4.1.3  </w:t>
      </w:r>
      <w:r>
        <w:rPr>
          <w:rFonts w:hint="eastAsia" w:ascii="仿宋_GB2312" w:eastAsia="仿宋_GB2312"/>
          <w:sz w:val="32"/>
          <w:szCs w:val="32"/>
        </w:rPr>
        <w:t>应建立诚信计量自我承诺制度，公开向消费者做出诚信计量方面的承诺，保证经营商品或者提供服务的计量准确，在日常经营活动中认真履行承诺，主动接受社会监督，保护消费者权益。</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.2  </w:t>
      </w:r>
      <w:r>
        <w:rPr>
          <w:rFonts w:hint="eastAsia" w:ascii="仿宋_GB2312" w:eastAsia="仿宋_GB2312"/>
          <w:sz w:val="32"/>
          <w:szCs w:val="32"/>
        </w:rPr>
        <w:t>人员和制度管理</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.2.1  </w:t>
      </w:r>
      <w:r>
        <w:rPr>
          <w:rFonts w:hint="eastAsia" w:ascii="仿宋_GB2312" w:eastAsia="仿宋_GB2312"/>
          <w:sz w:val="32"/>
          <w:szCs w:val="32"/>
        </w:rPr>
        <w:t>管理责任部门及人员</w:t>
      </w:r>
    </w:p>
    <w:p>
      <w:pPr>
        <w:spacing w:line="480" w:lineRule="exact"/>
        <w:ind w:firstLine="640" w:firstLineChars="200"/>
        <w:rPr>
          <w:rFonts w:ascii="楷体_GB2312" w:eastAsia="楷体_GB2312"/>
          <w:sz w:val="32"/>
          <w:szCs w:val="32"/>
        </w:rPr>
      </w:pPr>
      <w:r>
        <w:rPr>
          <w:rFonts w:hint="eastAsia" w:ascii="仿宋_GB2312" w:eastAsia="仿宋_GB2312"/>
          <w:sz w:val="32"/>
          <w:szCs w:val="32"/>
        </w:rPr>
        <w:t>应根据经营情况设置计量管理责任部门或</w:t>
      </w:r>
      <w:r>
        <w:rPr>
          <w:rFonts w:hint="eastAsia" w:ascii="仿宋" w:hAnsi="仿宋" w:eastAsia="仿宋"/>
          <w:sz w:val="32"/>
          <w:szCs w:val="32"/>
        </w:rPr>
        <w:t>配备专（兼）职计量人员，负责加油站日常的各项计量管理工作。</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 xml:space="preserve">2.2  </w:t>
      </w:r>
      <w:r>
        <w:rPr>
          <w:rFonts w:hint="eastAsia" w:ascii="仿宋_GB2312" w:eastAsia="仿宋_GB2312"/>
          <w:sz w:val="32"/>
          <w:szCs w:val="32"/>
        </w:rPr>
        <w:t>管理制度</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应建立并完善诚信经营计量管理制度，并有效贯彻实施，实施</w:t>
      </w:r>
      <w:r>
        <w:rPr>
          <w:rFonts w:ascii="仿宋_GB2312" w:eastAsia="仿宋_GB2312"/>
          <w:sz w:val="32"/>
          <w:szCs w:val="32"/>
        </w:rPr>
        <w:t>结果应</w:t>
      </w:r>
      <w:r>
        <w:rPr>
          <w:rFonts w:hint="eastAsia" w:ascii="仿宋_GB2312" w:eastAsia="仿宋_GB2312"/>
          <w:sz w:val="32"/>
          <w:szCs w:val="32"/>
        </w:rPr>
        <w:t>有</w:t>
      </w:r>
      <w:r>
        <w:rPr>
          <w:rFonts w:ascii="仿宋_GB2312" w:eastAsia="仿宋_GB2312"/>
          <w:sz w:val="32"/>
          <w:szCs w:val="32"/>
        </w:rPr>
        <w:t>记录。</w:t>
      </w:r>
      <w:r>
        <w:rPr>
          <w:rFonts w:hint="eastAsia" w:ascii="仿宋_GB2312" w:eastAsia="仿宋_GB2312"/>
          <w:sz w:val="32"/>
          <w:szCs w:val="32"/>
        </w:rPr>
        <w:t>计量管理制度应包括但不限于以下内容：</w:t>
      </w:r>
    </w:p>
    <w:p>
      <w:pPr>
        <w:spacing w:line="480" w:lineRule="exact"/>
        <w:ind w:firstLine="640" w:firstLineChars="200"/>
        <w:rPr>
          <w:rFonts w:ascii="仿宋_GB2312" w:hAnsi="仿宋" w:eastAsia="仿宋_GB2312"/>
          <w:sz w:val="32"/>
          <w:szCs w:val="32"/>
        </w:rPr>
      </w:pPr>
      <w:r>
        <w:rPr>
          <w:rFonts w:hint="eastAsia" w:ascii="仿宋_GB2312" w:eastAsia="仿宋_GB2312"/>
          <w:sz w:val="32"/>
          <w:szCs w:val="32"/>
        </w:rPr>
        <w:t>1）</w:t>
      </w:r>
      <w:r>
        <w:rPr>
          <w:rFonts w:hint="eastAsia" w:ascii="仿宋_GB2312" w:hAnsi="仿宋" w:eastAsia="仿宋_GB2312"/>
          <w:sz w:val="32"/>
          <w:szCs w:val="32"/>
        </w:rPr>
        <w:t>贯彻计量法律法规的管理制度；</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2）计量管理机构及计量管理人员职责；</w:t>
      </w:r>
    </w:p>
    <w:p>
      <w:pPr>
        <w:spacing w:line="48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）计量器具配备、使用、维护、溯源检定/校准等管理制度；</w:t>
      </w:r>
    </w:p>
    <w:p>
      <w:pPr>
        <w:spacing w:line="48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）诚信计量承诺制度；</w:t>
      </w:r>
    </w:p>
    <w:p>
      <w:pPr>
        <w:spacing w:line="48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）燃油销售标准作业规程；</w:t>
      </w:r>
    </w:p>
    <w:p>
      <w:pPr>
        <w:spacing w:line="48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）计量投诉处理制度。</w:t>
      </w:r>
      <w:bookmarkStart w:id="0" w:name="_Hlk130283565"/>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.2.3  </w:t>
      </w:r>
      <w:r>
        <w:rPr>
          <w:rFonts w:hint="eastAsia" w:ascii="仿宋_GB2312" w:eastAsia="仿宋_GB2312"/>
          <w:sz w:val="32"/>
          <w:szCs w:val="32"/>
        </w:rPr>
        <w:t>计量记录与档案管理</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制定使用过程中检查、维修维护等必要的记录格式，记录应包含足够的信息，清晰明了，有操作人员签字或标识，并妥善保管。记录与档案包括：计量设备一览表，计量器具周期检定登记管理卡，计量器具说明书，计量检定或校准证书，人员培训记录和岗位培训证书，加油机售油台帐，加油量核查记录，油品验收记录，油品质量检验报告，盘点记录等。</w:t>
      </w:r>
    </w:p>
    <w:p>
      <w:pPr>
        <w:spacing w:line="480" w:lineRule="exact"/>
        <w:rPr>
          <w:rFonts w:ascii="仿宋_GB2312" w:eastAsia="仿宋_GB2312"/>
          <w:sz w:val="32"/>
          <w:szCs w:val="32"/>
        </w:rPr>
      </w:pPr>
      <w:r>
        <w:rPr>
          <w:rFonts w:ascii="仿宋_GB2312" w:eastAsia="仿宋_GB2312"/>
          <w:sz w:val="32"/>
          <w:szCs w:val="32"/>
        </w:rPr>
        <w:t xml:space="preserve">4.3  </w:t>
      </w:r>
      <w:r>
        <w:rPr>
          <w:rFonts w:hint="eastAsia" w:ascii="仿宋_GB2312" w:eastAsia="仿宋_GB2312"/>
          <w:sz w:val="32"/>
          <w:szCs w:val="32"/>
        </w:rPr>
        <w:t>计量器具管理</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.3.1  </w:t>
      </w:r>
      <w:r>
        <w:rPr>
          <w:rFonts w:hint="eastAsia" w:ascii="仿宋_GB2312" w:eastAsia="仿宋_GB2312"/>
          <w:sz w:val="32"/>
          <w:szCs w:val="32"/>
        </w:rPr>
        <w:t>计量器具配备</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应根据营运和管理需要配备性能符合要求的各种计量设备，包括符合安全性、准确度和稳定性要求、符合税控要求的加油机；储油罐（应有容积换算表和液位计）；量油尺，温度计；标准计量罐（</w:t>
      </w:r>
      <w:r>
        <w:rPr>
          <w:rFonts w:ascii="仿宋_GB2312" w:eastAsia="仿宋_GB2312"/>
          <w:sz w:val="32"/>
          <w:szCs w:val="32"/>
        </w:rPr>
        <w:t>20升或50升）等。</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.3.2  </w:t>
      </w:r>
      <w:r>
        <w:rPr>
          <w:rFonts w:hint="eastAsia" w:ascii="仿宋_GB2312" w:eastAsia="仿宋_GB2312"/>
          <w:sz w:val="32"/>
          <w:szCs w:val="32"/>
        </w:rPr>
        <w:t>计量器具档案</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应建立计量器具管理档案，做好计量器具的日常维护、报废更新和日常自校等，掌握在用计量器具的使用状况，并做好状态标识和记录。</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强制检定的计量器具应登记造册，向当地市场监督管理部门备案。</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.3.3  </w:t>
      </w:r>
      <w:r>
        <w:rPr>
          <w:rFonts w:hint="eastAsia" w:ascii="仿宋_GB2312" w:eastAsia="仿宋_GB2312"/>
          <w:sz w:val="32"/>
          <w:szCs w:val="32"/>
        </w:rPr>
        <w:t>计量器具溯源</w:t>
      </w:r>
    </w:p>
    <w:p>
      <w:pPr>
        <w:spacing w:line="480" w:lineRule="exact"/>
        <w:ind w:firstLine="645"/>
        <w:rPr>
          <w:rFonts w:ascii="仿宋_GB2312" w:eastAsia="仿宋_GB2312"/>
          <w:sz w:val="32"/>
          <w:szCs w:val="32"/>
        </w:rPr>
      </w:pPr>
      <w:r>
        <w:rPr>
          <w:rFonts w:hint="eastAsia" w:ascii="仿宋_GB2312" w:eastAsia="仿宋_GB2312"/>
          <w:sz w:val="32"/>
          <w:szCs w:val="32"/>
        </w:rPr>
        <w:t>属于强制检定范围的计量器具应执行强制检定，及时向法定计量检定机构申请周期检定。其他工作计量器具，应按要求自行选择非强制检定或者校准方式，保证量值准确。</w:t>
      </w:r>
    </w:p>
    <w:p>
      <w:pPr>
        <w:spacing w:line="480" w:lineRule="exact"/>
        <w:rPr>
          <w:rFonts w:ascii="仿宋_GB2312" w:eastAsia="仿宋_GB2312"/>
          <w:sz w:val="32"/>
          <w:szCs w:val="32"/>
        </w:rPr>
      </w:pPr>
      <w:r>
        <w:rPr>
          <w:rFonts w:ascii="仿宋_GB2312" w:eastAsia="仿宋_GB2312"/>
          <w:sz w:val="32"/>
          <w:szCs w:val="32"/>
        </w:rPr>
        <w:t xml:space="preserve">4.3.4  </w:t>
      </w:r>
      <w:r>
        <w:rPr>
          <w:rFonts w:hint="eastAsia" w:ascii="仿宋_GB2312" w:eastAsia="仿宋_GB2312"/>
          <w:sz w:val="32"/>
          <w:szCs w:val="32"/>
        </w:rPr>
        <w:t>检定铅封和标志</w:t>
      </w:r>
    </w:p>
    <w:p>
      <w:pPr>
        <w:spacing w:line="480" w:lineRule="exact"/>
        <w:ind w:firstLine="645"/>
        <w:rPr>
          <w:rFonts w:ascii="仿宋_GB2312" w:eastAsia="仿宋_GB2312"/>
          <w:sz w:val="32"/>
          <w:szCs w:val="32"/>
        </w:rPr>
      </w:pPr>
      <w:r>
        <w:rPr>
          <w:rFonts w:hint="eastAsia" w:ascii="仿宋_GB2312" w:eastAsia="仿宋_GB2312"/>
          <w:sz w:val="32"/>
          <w:szCs w:val="32"/>
        </w:rPr>
        <w:t>计量器具上的检定铅封和检定合格标志，应妥善维护，不得私自破坏。</w:t>
      </w:r>
    </w:p>
    <w:p>
      <w:pPr>
        <w:spacing w:line="480" w:lineRule="exact"/>
        <w:rPr>
          <w:rFonts w:ascii="仿宋_GB2312" w:eastAsia="仿宋_GB2312"/>
          <w:sz w:val="32"/>
          <w:szCs w:val="32"/>
        </w:rPr>
      </w:pPr>
      <w:r>
        <w:rPr>
          <w:rFonts w:ascii="仿宋_GB2312" w:eastAsia="仿宋_GB2312"/>
          <w:sz w:val="32"/>
          <w:szCs w:val="32"/>
        </w:rPr>
        <w:t xml:space="preserve">4.3.5  </w:t>
      </w:r>
      <w:r>
        <w:rPr>
          <w:rFonts w:hint="eastAsia" w:ascii="仿宋_GB2312" w:eastAsia="仿宋_GB2312"/>
          <w:sz w:val="32"/>
          <w:szCs w:val="32"/>
        </w:rPr>
        <w:t>不合格计量器具的控制</w:t>
      </w:r>
    </w:p>
    <w:p>
      <w:pPr>
        <w:spacing w:line="480" w:lineRule="exact"/>
        <w:ind w:firstLine="645"/>
        <w:rPr>
          <w:rFonts w:ascii="仿宋_GB2312" w:eastAsia="仿宋_GB2312"/>
          <w:sz w:val="32"/>
          <w:szCs w:val="32"/>
        </w:rPr>
      </w:pPr>
      <w:r>
        <w:rPr>
          <w:rFonts w:hint="eastAsia" w:ascii="仿宋_GB2312" w:eastAsia="仿宋_GB2312"/>
          <w:sz w:val="32"/>
          <w:szCs w:val="32"/>
        </w:rPr>
        <w:t>计量器具的准确度超出允差范围或出现故障的，应立即封存，贴上停用标志，停止使用，并及时修理或更新，经检定合格或校准后再投入使用。</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.4  </w:t>
      </w:r>
      <w:r>
        <w:rPr>
          <w:rFonts w:hint="eastAsia" w:ascii="仿宋_GB2312" w:eastAsia="仿宋_GB2312"/>
          <w:sz w:val="32"/>
          <w:szCs w:val="32"/>
        </w:rPr>
        <w:t>油品计量管理</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.4.1  </w:t>
      </w:r>
      <w:r>
        <w:rPr>
          <w:rFonts w:hint="eastAsia" w:ascii="仿宋_GB2312" w:eastAsia="仿宋_GB2312"/>
          <w:sz w:val="32"/>
          <w:szCs w:val="32"/>
        </w:rPr>
        <w:t>加油操作</w:t>
      </w:r>
    </w:p>
    <w:p>
      <w:pPr>
        <w:spacing w:line="480" w:lineRule="exact"/>
        <w:rPr>
          <w:rFonts w:ascii="仿宋_GB2312" w:eastAsia="仿宋_GB2312"/>
          <w:sz w:val="32"/>
          <w:szCs w:val="32"/>
        </w:rPr>
      </w:pPr>
      <w:r>
        <w:rPr>
          <w:rFonts w:hint="eastAsia" w:ascii="仿宋_GB2312" w:eastAsia="仿宋_GB2312"/>
          <w:sz w:val="32"/>
          <w:szCs w:val="32"/>
        </w:rPr>
        <w:t>　　应</w:t>
      </w:r>
      <w:r>
        <w:rPr>
          <w:rFonts w:ascii="仿宋_GB2312" w:eastAsia="仿宋_GB2312"/>
          <w:sz w:val="32"/>
          <w:szCs w:val="32"/>
        </w:rPr>
        <w:t>确保</w:t>
      </w:r>
      <w:r>
        <w:rPr>
          <w:rFonts w:hint="eastAsia" w:ascii="仿宋_GB2312" w:eastAsia="仿宋_GB2312"/>
          <w:sz w:val="32"/>
          <w:szCs w:val="32"/>
        </w:rPr>
        <w:t>加油操作程序正确，加油量稳定、准确，加油单据数量、加油显示数量和售油台账登记数量一致。</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.4.</w:t>
      </w:r>
      <w:r>
        <w:rPr>
          <w:rFonts w:hint="eastAsia" w:ascii="仿宋_GB2312" w:eastAsia="仿宋_GB2312"/>
          <w:sz w:val="32"/>
          <w:szCs w:val="32"/>
        </w:rPr>
        <w:t>2</w:t>
      </w:r>
      <w:r>
        <w:rPr>
          <w:rFonts w:ascii="仿宋_GB2312" w:eastAsia="仿宋_GB2312"/>
          <w:sz w:val="32"/>
          <w:szCs w:val="32"/>
        </w:rPr>
        <w:t xml:space="preserve">  </w:t>
      </w:r>
      <w:r>
        <w:rPr>
          <w:rFonts w:hint="eastAsia" w:ascii="仿宋_GB2312" w:eastAsia="仿宋_GB2312"/>
          <w:sz w:val="32"/>
          <w:szCs w:val="32"/>
        </w:rPr>
        <w:t>油罐的测量</w:t>
      </w:r>
    </w:p>
    <w:p>
      <w:pPr>
        <w:spacing w:line="480" w:lineRule="exact"/>
        <w:rPr>
          <w:rFonts w:ascii="仿宋_GB2312" w:eastAsia="仿宋_GB2312"/>
          <w:sz w:val="32"/>
          <w:szCs w:val="32"/>
        </w:rPr>
      </w:pPr>
      <w:r>
        <w:rPr>
          <w:rFonts w:hint="eastAsia" w:ascii="仿宋_GB2312" w:eastAsia="仿宋_GB2312"/>
          <w:sz w:val="32"/>
          <w:szCs w:val="32"/>
        </w:rPr>
        <w:t>　　在验收和盘点油品时，计量人员应使用相关计量设备，准确测量和计算油罐油品的体积。</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.4.</w:t>
      </w:r>
      <w:r>
        <w:rPr>
          <w:rFonts w:hint="eastAsia" w:ascii="仿宋_GB2312" w:eastAsia="仿宋_GB2312"/>
          <w:sz w:val="32"/>
          <w:szCs w:val="32"/>
        </w:rPr>
        <w:t>3</w:t>
      </w:r>
      <w:r>
        <w:rPr>
          <w:rFonts w:ascii="仿宋_GB2312" w:eastAsia="仿宋_GB2312"/>
          <w:sz w:val="32"/>
          <w:szCs w:val="32"/>
        </w:rPr>
        <w:t xml:space="preserve">  </w:t>
      </w:r>
      <w:r>
        <w:rPr>
          <w:rFonts w:hint="eastAsia" w:ascii="仿宋_GB2312" w:eastAsia="仿宋_GB2312"/>
          <w:sz w:val="32"/>
          <w:szCs w:val="32"/>
        </w:rPr>
        <w:t>加油量的核查</w:t>
      </w:r>
    </w:p>
    <w:p>
      <w:pPr>
        <w:spacing w:line="480" w:lineRule="exact"/>
        <w:rPr>
          <w:rFonts w:ascii="仿宋_GB2312" w:eastAsia="仿宋_GB2312"/>
          <w:sz w:val="32"/>
          <w:szCs w:val="32"/>
        </w:rPr>
      </w:pPr>
      <w:r>
        <w:rPr>
          <w:rFonts w:hint="eastAsia" w:ascii="仿宋_GB2312" w:eastAsia="仿宋_GB2312"/>
          <w:sz w:val="32"/>
          <w:szCs w:val="32"/>
        </w:rPr>
        <w:t>　　应定期使用标准罐对加油量进行核查，核查的时间间隔不大于15日。</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.4.4  </w:t>
      </w:r>
      <w:r>
        <w:rPr>
          <w:rFonts w:hint="eastAsia" w:ascii="仿宋_GB2312" w:eastAsia="仿宋_GB2312"/>
          <w:sz w:val="32"/>
          <w:szCs w:val="32"/>
        </w:rPr>
        <w:t>内部检查</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应加强日常经营活动中的计量管理，定期对在用计量器具、油品库存量、售出量以及相关计量记录进行检查，对现场发现的问题以及消费者的计量投诉，应及时分析原因，责任到人，制定纠正措施和预防措施。</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.4.5  </w:t>
      </w:r>
      <w:r>
        <w:rPr>
          <w:rFonts w:hint="eastAsia" w:ascii="仿宋_GB2312" w:eastAsia="仿宋_GB2312"/>
          <w:sz w:val="32"/>
          <w:szCs w:val="32"/>
        </w:rPr>
        <w:t>外部检查</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应积极配合市场监管部门开展的计量监督检查和定量包装商品计量监督抽查，对市场监管部门提出的整改要求，要认真落实。</w:t>
      </w:r>
    </w:p>
    <w:bookmarkEnd w:id="0"/>
    <w:p>
      <w:pPr>
        <w:spacing w:line="480" w:lineRule="exact"/>
        <w:rPr>
          <w:rFonts w:ascii="仿宋_GB2312" w:eastAsia="仿宋_GB2312"/>
          <w:sz w:val="32"/>
          <w:szCs w:val="32"/>
        </w:rPr>
      </w:pPr>
      <w:r>
        <w:rPr>
          <w:rFonts w:ascii="仿宋_GB2312" w:eastAsia="仿宋_GB2312"/>
          <w:sz w:val="32"/>
          <w:szCs w:val="32"/>
        </w:rPr>
        <w:t>4.5</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定量包装商品管理</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凡经营机油等定量包装商品的加油站应加强商品进货计量检验，进店销售的定量包装商品的净含量标注及净含量应符合国家《定量包装商品计量监督管理办法》的有关规定，定量包装商品计量抽查合格率应达到100%。</w:t>
      </w:r>
    </w:p>
    <w:p>
      <w:pPr>
        <w:spacing w:line="480" w:lineRule="exact"/>
        <w:rPr>
          <w:rFonts w:ascii="仿宋_GB2312" w:eastAsia="仿宋_GB2312"/>
          <w:sz w:val="32"/>
          <w:szCs w:val="32"/>
        </w:rPr>
      </w:pPr>
      <w:r>
        <w:rPr>
          <w:rFonts w:ascii="仿宋_GB2312" w:eastAsia="仿宋_GB2312"/>
          <w:sz w:val="32"/>
          <w:szCs w:val="32"/>
        </w:rPr>
        <w:t>4.6</w:t>
      </w:r>
      <w:r>
        <w:rPr>
          <w:rFonts w:hint="eastAsia" w:ascii="仿宋_GB2312" w:eastAsia="仿宋_GB2312"/>
          <w:sz w:val="32"/>
          <w:szCs w:val="32"/>
        </w:rPr>
        <w:t xml:space="preserve">  法定计量单位管理</w:t>
      </w:r>
    </w:p>
    <w:p>
      <w:pPr>
        <w:spacing w:line="480" w:lineRule="exact"/>
        <w:rPr>
          <w:rFonts w:ascii="仿宋_GB2312" w:eastAsia="仿宋_GB2312"/>
          <w:sz w:val="32"/>
          <w:szCs w:val="32"/>
        </w:rPr>
      </w:pPr>
      <w:r>
        <w:rPr>
          <w:rFonts w:ascii="仿宋_GB2312" w:eastAsia="仿宋_GB2312"/>
          <w:sz w:val="32"/>
          <w:szCs w:val="32"/>
        </w:rPr>
        <w:t>4.6</w:t>
      </w:r>
      <w:r>
        <w:rPr>
          <w:rFonts w:hint="eastAsia" w:ascii="仿宋_GB2312" w:eastAsia="仿宋_GB2312"/>
          <w:sz w:val="32"/>
          <w:szCs w:val="32"/>
        </w:rPr>
        <w:t xml:space="preserve">.1 </w:t>
      </w:r>
      <w:r>
        <w:rPr>
          <w:rFonts w:ascii="仿宋_GB2312" w:eastAsia="仿宋_GB2312"/>
          <w:sz w:val="32"/>
          <w:szCs w:val="32"/>
        </w:rPr>
        <w:t xml:space="preserve"> </w:t>
      </w:r>
      <w:r>
        <w:rPr>
          <w:rFonts w:hint="eastAsia" w:ascii="仿宋_GB2312" w:eastAsia="仿宋_GB2312"/>
          <w:sz w:val="32"/>
          <w:szCs w:val="32"/>
        </w:rPr>
        <w:t>计量单位使用</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应建立明码标价制度，正确使用国家法定计量单位，不得模糊、虚假计量。经营过程中使用的技术文件、计量设备、标价牌等均应采用国家法定计量单位。</w:t>
      </w:r>
    </w:p>
    <w:p>
      <w:pPr>
        <w:spacing w:line="480" w:lineRule="exact"/>
        <w:rPr>
          <w:rFonts w:ascii="仿宋_GB2312" w:eastAsia="仿宋_GB2312"/>
          <w:sz w:val="32"/>
          <w:szCs w:val="32"/>
        </w:rPr>
      </w:pPr>
      <w:r>
        <w:rPr>
          <w:rFonts w:ascii="仿宋_GB2312" w:eastAsia="仿宋_GB2312"/>
          <w:sz w:val="32"/>
          <w:szCs w:val="32"/>
        </w:rPr>
        <w:t>4.6</w:t>
      </w:r>
      <w:r>
        <w:rPr>
          <w:rFonts w:hint="eastAsia" w:ascii="仿宋_GB2312" w:eastAsia="仿宋_GB2312"/>
          <w:sz w:val="32"/>
          <w:szCs w:val="32"/>
        </w:rPr>
        <w:t xml:space="preserve">.2 </w:t>
      </w:r>
      <w:r>
        <w:rPr>
          <w:rFonts w:ascii="仿宋_GB2312" w:eastAsia="仿宋_GB2312"/>
          <w:sz w:val="32"/>
          <w:szCs w:val="32"/>
        </w:rPr>
        <w:t xml:space="preserve"> </w:t>
      </w:r>
      <w:r>
        <w:rPr>
          <w:rFonts w:hint="eastAsia" w:ascii="仿宋_GB2312" w:eastAsia="仿宋_GB2312"/>
          <w:sz w:val="32"/>
          <w:szCs w:val="32"/>
        </w:rPr>
        <w:t>零售结算</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应使用燃油加油机等计量器具进行成品油零售商品</w:t>
      </w:r>
      <w:r>
        <w:rPr>
          <w:rFonts w:ascii="仿宋_GB2312" w:eastAsia="仿宋_GB2312"/>
          <w:sz w:val="32"/>
          <w:szCs w:val="32"/>
        </w:rPr>
        <w:t>结算</w:t>
      </w:r>
      <w:r>
        <w:rPr>
          <w:rFonts w:hint="eastAsia" w:ascii="仿宋_GB2312" w:eastAsia="仿宋_GB2312"/>
          <w:sz w:val="32"/>
          <w:szCs w:val="32"/>
        </w:rPr>
        <w:t>，并明示国家法定计量单位、计量过程和计量器具显示的量值，结算值应与实际值相符，其偏差不得超过国家规定的允许误差；国家对计量偏差没有规定的，其偏差不得超过所使用计量器具的允许误差，不得估量计费。</w:t>
      </w:r>
    </w:p>
    <w:p>
      <w:pPr>
        <w:spacing w:line="480" w:lineRule="exact"/>
        <w:rPr>
          <w:rFonts w:ascii="仿宋_GB2312" w:eastAsia="仿宋_GB2312"/>
          <w:sz w:val="32"/>
          <w:szCs w:val="32"/>
        </w:rPr>
      </w:pPr>
      <w:r>
        <w:rPr>
          <w:rFonts w:ascii="仿宋_GB2312" w:eastAsia="仿宋_GB2312"/>
          <w:sz w:val="32"/>
          <w:szCs w:val="32"/>
        </w:rPr>
        <w:t>4.7</w:t>
      </w:r>
      <w:r>
        <w:rPr>
          <w:rFonts w:hint="eastAsia" w:ascii="仿宋_GB2312" w:eastAsia="仿宋_GB2312"/>
          <w:sz w:val="32"/>
          <w:szCs w:val="32"/>
        </w:rPr>
        <w:t xml:space="preserve">  诚信计量承诺</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应对诚信计量行为做出承诺，通过在经营场所、网站和APP等多途径明示《诚信计量承诺书》的形式向社会承诺诚信计量，公开接受社会监督，承诺内容应在显著位置公开，并在日常经营活动中认真履行。</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.8  </w:t>
      </w:r>
      <w:r>
        <w:rPr>
          <w:rFonts w:hint="eastAsia" w:ascii="仿宋_GB2312" w:eastAsia="仿宋_GB2312"/>
          <w:sz w:val="32"/>
          <w:szCs w:val="32"/>
        </w:rPr>
        <w:t>公平罐的设立</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应在站内显著、方便的位置设置公平罐（标准金属量器）。公平罐指引标识应清晰、明显。公平罐专人负责管理，在消费者需要时提供计量复验等公正计量服务。</w:t>
      </w:r>
    </w:p>
    <w:p>
      <w:pPr>
        <w:spacing w:line="480" w:lineRule="exact"/>
        <w:rPr>
          <w:rFonts w:ascii="仿宋_GB2312" w:eastAsia="仿宋_GB2312"/>
          <w:sz w:val="32"/>
          <w:szCs w:val="32"/>
        </w:rPr>
      </w:pPr>
      <w:r>
        <w:rPr>
          <w:rFonts w:ascii="仿宋_GB2312" w:eastAsia="仿宋_GB2312"/>
          <w:sz w:val="32"/>
          <w:szCs w:val="32"/>
        </w:rPr>
        <w:t>4.9</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计量投诉处理</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9</w:t>
      </w:r>
      <w:r>
        <w:rPr>
          <w:rFonts w:hint="eastAsia" w:ascii="仿宋_GB2312" w:eastAsia="仿宋_GB2312"/>
          <w:sz w:val="32"/>
          <w:szCs w:val="32"/>
        </w:rPr>
        <w:t xml:space="preserve">.1  </w:t>
      </w:r>
      <w:r>
        <w:rPr>
          <w:rFonts w:ascii="仿宋_GB2312" w:eastAsia="仿宋_GB2312"/>
          <w:sz w:val="32"/>
          <w:szCs w:val="32"/>
        </w:rPr>
        <w:t>应建立各类投诉举报渠道，并指定专人负责计量投诉的受理、协调和处理工作</w:t>
      </w:r>
      <w:r>
        <w:rPr>
          <w:rFonts w:hint="eastAsia" w:ascii="仿宋_GB2312" w:eastAsia="仿宋_GB2312"/>
          <w:sz w:val="32"/>
          <w:szCs w:val="32"/>
        </w:rPr>
        <w:t>，</w:t>
      </w:r>
      <w:r>
        <w:rPr>
          <w:rFonts w:ascii="仿宋_GB2312" w:eastAsia="仿宋_GB2312"/>
          <w:sz w:val="32"/>
          <w:szCs w:val="32"/>
        </w:rPr>
        <w:t>公开投诉举报电话，</w:t>
      </w:r>
      <w:r>
        <w:rPr>
          <w:rFonts w:hint="eastAsia" w:ascii="仿宋_GB2312" w:eastAsia="仿宋_GB2312"/>
          <w:sz w:val="32"/>
          <w:szCs w:val="32"/>
        </w:rPr>
        <w:t>或</w:t>
      </w:r>
      <w:r>
        <w:rPr>
          <w:rFonts w:ascii="仿宋_GB2312" w:eastAsia="仿宋_GB2312"/>
          <w:sz w:val="32"/>
          <w:szCs w:val="32"/>
        </w:rPr>
        <w:t>设立投诉意见箱，方便消费者的投诉和举报。</w:t>
      </w:r>
      <w:r>
        <w:rPr>
          <w:rFonts w:hint="eastAsia" w:ascii="仿宋_GB2312" w:eastAsia="仿宋_GB2312"/>
          <w:sz w:val="32"/>
          <w:szCs w:val="32"/>
        </w:rPr>
        <w:t>对计量投诉事项，应及时公正处理，确保计量投诉处理完结率100%，切实保护消费者的合法权益。</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9</w:t>
      </w: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 xml:space="preserve">  应建立计量投诉及处理日志制度，准确、完整记录计量投诉的受理、协调和处理情况。</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9</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 xml:space="preserve">  应积极配合市场监管部门受理的</w:t>
      </w:r>
      <w:r>
        <w:rPr>
          <w:rFonts w:ascii="仿宋_GB2312" w:eastAsia="仿宋_GB2312"/>
          <w:sz w:val="32"/>
          <w:szCs w:val="32"/>
        </w:rPr>
        <w:t>关于该站的计量投诉</w:t>
      </w:r>
      <w:r>
        <w:rPr>
          <w:rFonts w:hint="eastAsia" w:ascii="仿宋_GB2312" w:eastAsia="仿宋_GB2312"/>
          <w:sz w:val="32"/>
          <w:szCs w:val="32"/>
        </w:rPr>
        <w:t>调查，提供真实可靠的信息，协助计量纠纷调解工作。</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.9.4  </w:t>
      </w:r>
      <w:r>
        <w:rPr>
          <w:rFonts w:hint="eastAsia" w:ascii="仿宋_GB2312" w:eastAsia="仿宋_GB2312"/>
          <w:sz w:val="32"/>
          <w:szCs w:val="32"/>
        </w:rPr>
        <w:t>应加强与顾客的沟通工作，通过开展活动、发放宣传彩页等，提高顾客对加油站诚信经营的认知度、信任度。</w:t>
      </w:r>
    </w:p>
    <w:p>
      <w:pPr>
        <w:spacing w:line="480" w:lineRule="exact"/>
        <w:rPr>
          <w:rFonts w:ascii="仿宋_GB2312" w:eastAsia="仿宋_GB2312"/>
          <w:sz w:val="32"/>
          <w:szCs w:val="32"/>
        </w:rPr>
      </w:pPr>
      <w:r>
        <w:rPr>
          <w:rFonts w:ascii="仿宋_GB2312" w:eastAsia="仿宋_GB2312"/>
          <w:sz w:val="32"/>
          <w:szCs w:val="32"/>
        </w:rPr>
        <w:t xml:space="preserve">4.10  </w:t>
      </w:r>
      <w:r>
        <w:rPr>
          <w:rFonts w:hint="eastAsia" w:ascii="仿宋_GB2312" w:eastAsia="仿宋_GB2312"/>
          <w:sz w:val="32"/>
          <w:szCs w:val="32"/>
        </w:rPr>
        <w:t>其他要求</w:t>
      </w:r>
    </w:p>
    <w:p>
      <w:pPr>
        <w:spacing w:line="480" w:lineRule="exact"/>
        <w:rPr>
          <w:rFonts w:ascii="仿宋_GB2312" w:eastAsia="仿宋_GB2312"/>
          <w:sz w:val="32"/>
          <w:szCs w:val="32"/>
        </w:rPr>
      </w:pPr>
      <w:bookmarkStart w:id="1" w:name="_Hlk134190325"/>
      <w:r>
        <w:rPr>
          <w:rFonts w:ascii="仿宋_GB2312" w:eastAsia="仿宋_GB2312"/>
          <w:sz w:val="32"/>
          <w:szCs w:val="32"/>
        </w:rPr>
        <w:t xml:space="preserve">4.10.1  </w:t>
      </w:r>
      <w:r>
        <w:rPr>
          <w:rFonts w:hint="eastAsia" w:ascii="仿宋_GB2312" w:eastAsia="仿宋_GB2312"/>
          <w:sz w:val="32"/>
          <w:szCs w:val="32"/>
        </w:rPr>
        <w:t>明码标价</w:t>
      </w:r>
    </w:p>
    <w:p>
      <w:pPr>
        <w:spacing w:line="480" w:lineRule="exact"/>
        <w:rPr>
          <w:rFonts w:ascii="仿宋_GB2312" w:eastAsia="仿宋_GB2312"/>
          <w:b/>
          <w:bCs/>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应当按照市场监督管理部门的规定明码标价。明码标价应当根据商品、服务等特点，做到真实准确、货签对位、标识醒目。</w:t>
      </w:r>
    </w:p>
    <w:bookmarkEnd w:id="1"/>
    <w:p>
      <w:pPr>
        <w:spacing w:line="480" w:lineRule="exact"/>
        <w:rPr>
          <w:rFonts w:ascii="仿宋_GB2312" w:eastAsia="仿宋_GB2312"/>
          <w:sz w:val="32"/>
          <w:szCs w:val="32"/>
        </w:rPr>
      </w:pPr>
      <w:r>
        <w:rPr>
          <w:rFonts w:ascii="仿宋_GB2312" w:eastAsia="仿宋_GB2312"/>
          <w:sz w:val="32"/>
          <w:szCs w:val="32"/>
        </w:rPr>
        <w:t xml:space="preserve">4.10.2  </w:t>
      </w:r>
      <w:r>
        <w:rPr>
          <w:rFonts w:hint="eastAsia" w:ascii="仿宋_GB2312" w:eastAsia="仿宋_GB2312"/>
          <w:sz w:val="32"/>
          <w:szCs w:val="32"/>
        </w:rPr>
        <w:t>环境条件</w:t>
      </w:r>
    </w:p>
    <w:p>
      <w:pPr>
        <w:spacing w:line="480" w:lineRule="exact"/>
        <w:rPr>
          <w:rFonts w:ascii="仿宋_GB2312" w:eastAsia="仿宋_GB2312"/>
          <w:sz w:val="32"/>
          <w:szCs w:val="32"/>
        </w:rPr>
      </w:pPr>
      <w:r>
        <w:rPr>
          <w:rFonts w:hint="eastAsia" w:ascii="仿宋_GB2312" w:eastAsia="仿宋_GB2312"/>
          <w:sz w:val="32"/>
          <w:szCs w:val="32"/>
        </w:rPr>
        <w:t>　　加油站的环境（包括加油现场、交款和管理办公室）应符合消防安全要求，面积足够、整齐清洁、宽敞美观，车辆周转和人员操作方便。</w:t>
      </w:r>
    </w:p>
    <w:p>
      <w:pPr>
        <w:spacing w:line="480" w:lineRule="exact"/>
        <w:rPr>
          <w:rFonts w:ascii="仿宋_GB2312" w:eastAsia="仿宋_GB2312"/>
          <w:b/>
          <w:bCs/>
          <w:sz w:val="32"/>
          <w:szCs w:val="32"/>
        </w:rPr>
      </w:pPr>
      <w:bookmarkStart w:id="2" w:name="_Hlk132289966"/>
      <w:r>
        <w:rPr>
          <w:rFonts w:hint="eastAsia" w:ascii="仿宋_GB2312" w:eastAsia="仿宋_GB2312"/>
          <w:b/>
          <w:bCs/>
          <w:sz w:val="32"/>
          <w:szCs w:val="32"/>
        </w:rPr>
        <w:t>5</w:t>
      </w:r>
      <w:r>
        <w:rPr>
          <w:rFonts w:ascii="仿宋_GB2312" w:eastAsia="仿宋_GB2312"/>
          <w:b/>
          <w:bCs/>
          <w:sz w:val="32"/>
          <w:szCs w:val="32"/>
        </w:rPr>
        <w:t xml:space="preserve">  </w:t>
      </w:r>
      <w:r>
        <w:rPr>
          <w:rFonts w:hint="eastAsia" w:ascii="仿宋_GB2312" w:eastAsia="仿宋_GB2312"/>
          <w:b/>
          <w:bCs/>
          <w:sz w:val="32"/>
          <w:szCs w:val="32"/>
        </w:rPr>
        <w:t>评价组织与实施</w:t>
      </w:r>
    </w:p>
    <w:p>
      <w:pPr>
        <w:spacing w:line="480" w:lineRule="exact"/>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.1</w:t>
      </w:r>
      <w:r>
        <w:rPr>
          <w:rFonts w:hint="eastAsia" w:ascii="仿宋_GB2312" w:eastAsia="仿宋_GB2312"/>
          <w:sz w:val="32"/>
          <w:szCs w:val="32"/>
        </w:rPr>
        <w:t xml:space="preserve">  申报</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申报诚信计量示范单位应具备合法经营资质，严格遵守计量法律法规规章，未发生造成严重社会不良影响的事件，无质量、安全责任事故。在自愿基础上，向当地市场监管部门提出申报，并提交“加油站诚信计量示范单位申报表”（见附录A）。</w:t>
      </w:r>
    </w:p>
    <w:p>
      <w:pPr>
        <w:spacing w:line="480" w:lineRule="exact"/>
        <w:rPr>
          <w:rFonts w:ascii="仿宋_GB2312" w:eastAsia="仿宋_GB2312"/>
          <w:sz w:val="32"/>
          <w:szCs w:val="32"/>
        </w:rPr>
      </w:pPr>
      <w:r>
        <w:rPr>
          <w:rFonts w:hint="eastAsia" w:ascii="仿宋_GB2312" w:eastAsia="仿宋_GB2312"/>
          <w:sz w:val="32"/>
          <w:szCs w:val="32"/>
        </w:rPr>
        <w:t>5.2</w:t>
      </w:r>
      <w:r>
        <w:rPr>
          <w:rFonts w:ascii="仿宋_GB2312" w:eastAsia="仿宋_GB2312"/>
          <w:sz w:val="32"/>
          <w:szCs w:val="32"/>
        </w:rPr>
        <w:t xml:space="preserve">  </w:t>
      </w:r>
      <w:r>
        <w:rPr>
          <w:rFonts w:hint="eastAsia" w:ascii="仿宋_GB2312" w:eastAsia="仿宋_GB2312"/>
          <w:sz w:val="32"/>
          <w:szCs w:val="32"/>
        </w:rPr>
        <w:t>现场评价</w:t>
      </w:r>
    </w:p>
    <w:p>
      <w:pPr>
        <w:spacing w:line="480" w:lineRule="exact"/>
        <w:ind w:firstLine="645"/>
        <w:rPr>
          <w:rFonts w:hint="eastAsia" w:ascii="仿宋_GB2312" w:eastAsia="仿宋_GB2312"/>
          <w:sz w:val="32"/>
          <w:szCs w:val="32"/>
        </w:rPr>
      </w:pPr>
      <w:r>
        <w:rPr>
          <w:rFonts w:hint="eastAsia" w:ascii="仿宋_GB2312" w:eastAsia="仿宋_GB2312"/>
          <w:sz w:val="32"/>
          <w:szCs w:val="32"/>
        </w:rPr>
        <w:t>市级市场监管部门依据本评价细则组织开展诚信计量示范单位的现场评价</w:t>
      </w:r>
      <w:r>
        <w:rPr>
          <w:rFonts w:hint="eastAsia" w:ascii="仿宋_GB2312" w:eastAsia="仿宋_GB2312"/>
          <w:sz w:val="32"/>
          <w:szCs w:val="32"/>
          <w:lang w:eastAsia="zh-CN"/>
        </w:rPr>
        <w:t>，</w:t>
      </w:r>
      <w:r>
        <w:rPr>
          <w:rFonts w:hint="eastAsia" w:ascii="仿宋_GB2312" w:eastAsia="仿宋_GB2312"/>
          <w:sz w:val="32"/>
          <w:szCs w:val="32"/>
        </w:rPr>
        <w:t>按照严格标准、优中选优的原则，确定诚信计量示范单位推荐名单。经市局网站公示无异议后，市局将推荐名单上报省局。公示期不少于5个工作日。</w:t>
      </w:r>
    </w:p>
    <w:p>
      <w:pPr>
        <w:spacing w:line="480" w:lineRule="exact"/>
        <w:rPr>
          <w:rFonts w:hint="eastAsia" w:ascii="仿宋_GB2312" w:eastAsia="仿宋_GB2312"/>
          <w:sz w:val="32"/>
          <w:szCs w:val="32"/>
        </w:rPr>
      </w:pPr>
      <w:r>
        <w:rPr>
          <w:rFonts w:hint="eastAsia" w:ascii="仿宋_GB2312" w:eastAsia="仿宋_GB2312"/>
          <w:sz w:val="32"/>
          <w:szCs w:val="32"/>
          <w:lang w:val="en-US" w:eastAsia="zh-CN"/>
        </w:rPr>
        <w:t xml:space="preserve">5.3  </w:t>
      </w:r>
      <w:r>
        <w:rPr>
          <w:rFonts w:hint="eastAsia" w:ascii="仿宋_GB2312" w:eastAsia="仿宋_GB2312"/>
          <w:sz w:val="32"/>
          <w:szCs w:val="32"/>
        </w:rPr>
        <w:t>社会公示。省局公示名单在省市场监管局官方网站予以公示。</w:t>
      </w:r>
    </w:p>
    <w:p>
      <w:pPr>
        <w:spacing w:line="480" w:lineRule="exact"/>
        <w:rPr>
          <w:rFonts w:hint="eastAsia" w:ascii="仿宋_GB2312" w:eastAsia="仿宋_GB2312"/>
          <w:sz w:val="32"/>
          <w:szCs w:val="32"/>
        </w:rPr>
      </w:pPr>
      <w:r>
        <w:rPr>
          <w:rFonts w:hint="eastAsia" w:ascii="仿宋_GB2312" w:eastAsia="仿宋_GB2312"/>
          <w:sz w:val="32"/>
          <w:szCs w:val="32"/>
          <w:lang w:val="en-US" w:eastAsia="zh-CN"/>
        </w:rPr>
        <w:t xml:space="preserve">5.4  </w:t>
      </w:r>
      <w:r>
        <w:rPr>
          <w:rFonts w:hint="eastAsia" w:ascii="仿宋_GB2312" w:eastAsia="仿宋_GB2312"/>
          <w:sz w:val="32"/>
          <w:szCs w:val="32"/>
        </w:rPr>
        <w:t>研究公布。省局对符合条件的示范单位集中向社会公布。</w:t>
      </w:r>
    </w:p>
    <w:p>
      <w:pPr>
        <w:rPr>
          <w:rFonts w:ascii="仿宋_GB2312" w:eastAsia="仿宋_GB2312"/>
          <w:sz w:val="32"/>
          <w:szCs w:val="32"/>
        </w:rPr>
      </w:pPr>
      <w:r>
        <w:rPr>
          <w:rFonts w:hint="eastAsia" w:ascii="仿宋_GB2312" w:eastAsia="仿宋_GB2312"/>
          <w:sz w:val="32"/>
          <w:szCs w:val="32"/>
        </w:rPr>
        <w:br w:type="page"/>
      </w:r>
    </w:p>
    <w:p>
      <w:pPr>
        <w:widowControl/>
        <w:jc w:val="left"/>
        <w:rPr>
          <w:sz w:val="24"/>
          <w:szCs w:val="24"/>
        </w:rPr>
      </w:pPr>
    </w:p>
    <w:bookmarkEnd w:id="2"/>
    <w:p>
      <w:pPr>
        <w:rPr>
          <w:rFonts w:ascii="黑体" w:hAnsi="黑体" w:eastAsia="黑体"/>
          <w:sz w:val="32"/>
          <w:szCs w:val="32"/>
        </w:rPr>
      </w:pPr>
      <w:bookmarkStart w:id="3" w:name="_Hlk132290088"/>
      <w:r>
        <w:rPr>
          <w:rFonts w:hint="eastAsia" w:ascii="黑体" w:hAnsi="黑体" w:eastAsia="黑体"/>
          <w:sz w:val="32"/>
          <w:szCs w:val="32"/>
        </w:rPr>
        <w:t>附录A</w:t>
      </w:r>
    </w:p>
    <w:p/>
    <w:p>
      <w:pPr>
        <w:pStyle w:val="2"/>
      </w:pPr>
      <w:r>
        <w:rPr>
          <w:rFonts w:hint="eastAsia"/>
          <w:sz w:val="30"/>
          <w:szCs w:val="30"/>
        </w:rPr>
        <w:t>加油站诚信计量示范单位申报表</w:t>
      </w:r>
    </w:p>
    <w:tbl>
      <w:tblPr>
        <w:tblStyle w:val="10"/>
        <w:tblW w:w="8586" w:type="dxa"/>
        <w:tblInd w:w="198" w:type="dxa"/>
        <w:tblLayout w:type="fixed"/>
        <w:tblCellMar>
          <w:top w:w="0" w:type="dxa"/>
          <w:left w:w="0" w:type="dxa"/>
          <w:bottom w:w="0" w:type="dxa"/>
          <w:right w:w="0" w:type="dxa"/>
        </w:tblCellMar>
      </w:tblPr>
      <w:tblGrid>
        <w:gridCol w:w="2065"/>
        <w:gridCol w:w="3145"/>
        <w:gridCol w:w="1675"/>
        <w:gridCol w:w="1701"/>
      </w:tblGrid>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单位名称</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营业执照/法人登记证住所</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统一社会信用代码</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经济性质</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单位负责人</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联系电话</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经营范围</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计量负责人</w:t>
            </w:r>
          </w:p>
          <w:p>
            <w:pPr>
              <w:jc w:val="center"/>
            </w:pPr>
            <w:r>
              <w:rPr>
                <w:rFonts w:hint="eastAsia"/>
              </w:rPr>
              <w:t>（分管领导）</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职务</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1182" w:hRule="atLeast"/>
        </w:trPr>
        <w:tc>
          <w:tcPr>
            <w:tcW w:w="2065" w:type="dxa"/>
            <w:tcBorders>
              <w:top w:val="single" w:color="000000" w:sz="4" w:space="0"/>
              <w:left w:val="single" w:color="000000" w:sz="4" w:space="0"/>
              <w:right w:val="single" w:color="000000" w:sz="4" w:space="0"/>
            </w:tcBorders>
            <w:vAlign w:val="center"/>
          </w:tcPr>
          <w:p>
            <w:pPr>
              <w:jc w:val="center"/>
            </w:pPr>
            <w:r>
              <w:rPr>
                <w:rFonts w:hint="eastAsia"/>
              </w:rPr>
              <w:t>计量器具总件数（件）</w:t>
            </w:r>
          </w:p>
        </w:tc>
        <w:tc>
          <w:tcPr>
            <w:tcW w:w="3145" w:type="dxa"/>
            <w:tcBorders>
              <w:top w:val="single" w:color="000000" w:sz="4" w:space="0"/>
              <w:left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right w:val="single" w:color="000000" w:sz="4" w:space="0"/>
            </w:tcBorders>
            <w:vAlign w:val="center"/>
          </w:tcPr>
          <w:p>
            <w:pPr>
              <w:jc w:val="center"/>
            </w:pPr>
            <w:r>
              <w:rPr>
                <w:rFonts w:hint="eastAsia"/>
              </w:rPr>
              <w:t>强检计量器具件数（件）</w:t>
            </w:r>
          </w:p>
        </w:tc>
        <w:tc>
          <w:tcPr>
            <w:tcW w:w="1701" w:type="dxa"/>
            <w:tcBorders>
              <w:top w:val="single" w:color="000000" w:sz="4" w:space="0"/>
              <w:left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2734" w:hRule="atLeast"/>
        </w:trPr>
        <w:tc>
          <w:tcPr>
            <w:tcW w:w="2065" w:type="dxa"/>
            <w:tcBorders>
              <w:top w:val="single" w:color="000000" w:sz="4" w:space="0"/>
              <w:left w:val="single" w:color="000000" w:sz="4" w:space="0"/>
              <w:bottom w:val="single" w:color="000000" w:sz="6" w:space="0"/>
              <w:right w:val="single" w:color="000000" w:sz="6" w:space="0"/>
            </w:tcBorders>
            <w:vAlign w:val="center"/>
          </w:tcPr>
          <w:p>
            <w:pPr>
              <w:jc w:val="center"/>
            </w:pPr>
            <w:r>
              <w:rPr>
                <w:rFonts w:hint="eastAsia"/>
              </w:rPr>
              <w:t>单位诚信计量工作</w:t>
            </w:r>
          </w:p>
          <w:p>
            <w:pPr>
              <w:jc w:val="center"/>
            </w:pPr>
            <w:r>
              <w:rPr>
                <w:rFonts w:hint="eastAsia"/>
              </w:rPr>
              <w:t>概述</w:t>
            </w:r>
          </w:p>
        </w:tc>
        <w:tc>
          <w:tcPr>
            <w:tcW w:w="6521" w:type="dxa"/>
            <w:gridSpan w:val="3"/>
            <w:tcBorders>
              <w:top w:val="single" w:color="000000" w:sz="4" w:space="0"/>
              <w:left w:val="single" w:color="000000" w:sz="6" w:space="0"/>
              <w:bottom w:val="single" w:color="000000" w:sz="4" w:space="0"/>
              <w:right w:val="single" w:color="000000" w:sz="4" w:space="0"/>
            </w:tcBorders>
            <w:vAlign w:val="center"/>
          </w:tcPr>
          <w:p>
            <w:pPr>
              <w:jc w:val="left"/>
            </w:pPr>
            <w:r>
              <w:rPr>
                <w:rFonts w:hint="eastAsia"/>
              </w:rPr>
              <w:t>包括组织领导、制度建设、人员培训、工作成效等方面的介绍，</w:t>
            </w:r>
            <w:r>
              <w:rPr>
                <w:rFonts w:hint="eastAsia" w:asciiTheme="minorEastAsia" w:hAnsiTheme="minorEastAsia"/>
              </w:rPr>
              <w:t>500</w:t>
            </w:r>
            <w:r>
              <w:rPr>
                <w:rFonts w:hint="eastAsia"/>
              </w:rPr>
              <w:t>字以内，可附页。</w:t>
            </w:r>
          </w:p>
        </w:tc>
      </w:tr>
      <w:tr>
        <w:tblPrEx>
          <w:tblCellMar>
            <w:top w:w="0" w:type="dxa"/>
            <w:left w:w="0" w:type="dxa"/>
            <w:bottom w:w="0" w:type="dxa"/>
            <w:right w:w="0" w:type="dxa"/>
          </w:tblCellMar>
        </w:tblPrEx>
        <w:trPr>
          <w:trHeight w:val="737" w:hRule="atLeast"/>
        </w:trPr>
        <w:tc>
          <w:tcPr>
            <w:tcW w:w="2065" w:type="dxa"/>
            <w:tcBorders>
              <w:top w:val="single" w:color="000000" w:sz="6" w:space="0"/>
              <w:left w:val="single" w:color="000000" w:sz="4" w:space="0"/>
              <w:bottom w:val="single" w:color="000000" w:sz="4" w:space="0"/>
              <w:right w:val="single" w:color="000000" w:sz="4" w:space="0"/>
            </w:tcBorders>
            <w:vAlign w:val="center"/>
          </w:tcPr>
          <w:p>
            <w:pPr>
              <w:jc w:val="center"/>
            </w:pPr>
            <w:r>
              <w:rPr>
                <w:rFonts w:hint="eastAsia"/>
              </w:rPr>
              <w:t>申报单位意见</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ind w:firstLine="210" w:firstLineChars="100"/>
            </w:pPr>
          </w:p>
          <w:p>
            <w:r>
              <w:rPr>
                <w:rFonts w:hint="eastAsia"/>
              </w:rPr>
              <w:t>自愿申报并接受当地市场监管部门组织的评价； 对申报材料信息的真实性负责。</w:t>
            </w:r>
          </w:p>
          <w:p>
            <w:pPr>
              <w:jc w:val="center"/>
            </w:pPr>
          </w:p>
          <w:p>
            <w:pPr>
              <w:jc w:val="center"/>
            </w:pPr>
          </w:p>
          <w:p>
            <w:pPr>
              <w:jc w:val="center"/>
            </w:pPr>
            <w:r>
              <w:rPr>
                <w:rFonts w:hint="eastAsia"/>
              </w:rPr>
              <w:t xml:space="preserve"> </w:t>
            </w:r>
            <w:r>
              <w:t xml:space="preserve">               </w:t>
            </w:r>
            <w:r>
              <w:rPr>
                <w:rFonts w:hint="eastAsia"/>
              </w:rPr>
              <w:t>申报单位（盖章）</w:t>
            </w:r>
          </w:p>
          <w:p>
            <w:pPr>
              <w:jc w:val="center"/>
            </w:pPr>
            <w:r>
              <w:rPr>
                <w:rFonts w:hint="eastAsia"/>
              </w:rPr>
              <w:t xml:space="preserve"> </w:t>
            </w:r>
            <w:r>
              <w:t xml:space="preserve">        </w:t>
            </w:r>
          </w:p>
          <w:p>
            <w:pPr>
              <w:jc w:val="center"/>
            </w:pPr>
            <w:r>
              <w:rPr>
                <w:rFonts w:hint="eastAsia"/>
              </w:rPr>
              <w:t xml:space="preserve"> </w:t>
            </w:r>
            <w:r>
              <w:t xml:space="preserve">               </w:t>
            </w:r>
            <w:r>
              <w:rPr>
                <w:rFonts w:hint="eastAsia"/>
              </w:rPr>
              <w:t>年</w:t>
            </w:r>
            <w:r>
              <w:rPr>
                <w:rFonts w:hint="eastAsia"/>
              </w:rPr>
              <w:tab/>
            </w:r>
            <w:r>
              <w:t xml:space="preserve"> </w:t>
            </w:r>
            <w:r>
              <w:rPr>
                <w:rFonts w:hint="eastAsia"/>
              </w:rPr>
              <w:t>月</w:t>
            </w:r>
            <w:r>
              <w:rPr>
                <w:rFonts w:hint="eastAsia"/>
              </w:rPr>
              <w:tab/>
            </w:r>
            <w:r>
              <w:t xml:space="preserve">  </w:t>
            </w:r>
            <w:r>
              <w:rPr>
                <w:rFonts w:hint="eastAsia"/>
              </w:rPr>
              <w:t>日</w:t>
            </w:r>
          </w:p>
          <w:p>
            <w:pPr>
              <w:jc w:val="center"/>
            </w:pPr>
          </w:p>
        </w:tc>
      </w:tr>
    </w:tbl>
    <w:p>
      <w:pPr>
        <w:sectPr>
          <w:headerReference r:id="rId5" w:type="first"/>
          <w:footerReference r:id="rId8" w:type="first"/>
          <w:headerReference r:id="rId3" w:type="default"/>
          <w:footerReference r:id="rId6" w:type="default"/>
          <w:headerReference r:id="rId4" w:type="even"/>
          <w:footerReference r:id="rId7" w:type="even"/>
          <w:pgSz w:w="11910" w:h="16840"/>
          <w:pgMar w:top="1418" w:right="1418" w:bottom="1418" w:left="1418" w:header="850" w:footer="680" w:gutter="0"/>
          <w:cols w:space="720" w:num="1"/>
          <w:docGrid w:linePitch="286" w:charSpace="0"/>
        </w:sectPr>
      </w:pPr>
    </w:p>
    <w:bookmarkEnd w:id="3"/>
    <w:p>
      <w:pPr>
        <w:rPr>
          <w:rFonts w:ascii="黑体" w:hAnsi="黑体" w:eastAsia="黑体"/>
          <w:sz w:val="32"/>
          <w:szCs w:val="32"/>
        </w:rPr>
      </w:pPr>
      <w:bookmarkStart w:id="4" w:name="_Hlk132290140"/>
      <w:r>
        <w:rPr>
          <w:rFonts w:hint="eastAsia" w:ascii="黑体" w:hAnsi="黑体" w:eastAsia="黑体"/>
          <w:sz w:val="32"/>
          <w:szCs w:val="32"/>
        </w:rPr>
        <w:t>附录</w:t>
      </w:r>
      <w:r>
        <w:rPr>
          <w:rFonts w:ascii="黑体" w:hAnsi="黑体" w:eastAsia="黑体"/>
          <w:sz w:val="32"/>
          <w:szCs w:val="32"/>
        </w:rPr>
        <w:t xml:space="preserve">B </w:t>
      </w:r>
      <w:bookmarkEnd w:id="4"/>
    </w:p>
    <w:p>
      <w:pPr>
        <w:spacing w:line="480" w:lineRule="exact"/>
        <w:rPr>
          <w:rFonts w:ascii="仿宋_GB2312" w:eastAsia="仿宋_GB2312"/>
          <w:sz w:val="32"/>
          <w:szCs w:val="32"/>
        </w:rPr>
      </w:pPr>
    </w:p>
    <w:p>
      <w:pPr>
        <w:spacing w:line="480" w:lineRule="exact"/>
        <w:ind w:firstLine="640" w:firstLineChars="200"/>
        <w:rPr>
          <w:rFonts w:ascii="仿宋_GB2312" w:eastAsia="仿宋_GB2312"/>
          <w:sz w:val="32"/>
          <w:szCs w:val="32"/>
        </w:rPr>
      </w:pPr>
    </w:p>
    <w:p>
      <w:pPr>
        <w:spacing w:line="480" w:lineRule="exact"/>
        <w:ind w:firstLine="1124" w:firstLineChars="200"/>
        <w:rPr>
          <w:rFonts w:ascii="宋体" w:hAnsi="宋体" w:cs="宋体"/>
          <w:b/>
          <w:bCs/>
          <w:kern w:val="0"/>
          <w:sz w:val="56"/>
          <w:szCs w:val="56"/>
        </w:rPr>
      </w:pPr>
    </w:p>
    <w:p>
      <w:pPr>
        <w:spacing w:line="360" w:lineRule="auto"/>
        <w:jc w:val="center"/>
        <w:rPr>
          <w:rFonts w:ascii="宋体" w:hAnsi="宋体" w:cs="宋体"/>
          <w:b/>
          <w:bCs/>
          <w:kern w:val="0"/>
          <w:sz w:val="56"/>
          <w:szCs w:val="56"/>
        </w:rPr>
      </w:pPr>
      <w:r>
        <w:rPr>
          <w:rFonts w:hint="eastAsia" w:ascii="宋体" w:hAnsi="宋体" w:cs="宋体"/>
          <w:b/>
          <w:bCs/>
          <w:kern w:val="0"/>
          <w:sz w:val="56"/>
          <w:szCs w:val="56"/>
        </w:rPr>
        <w:t>山东省“加油站诚信计量”</w:t>
      </w:r>
    </w:p>
    <w:p>
      <w:pPr>
        <w:spacing w:line="480" w:lineRule="exact"/>
        <w:ind w:firstLine="1124" w:firstLineChars="200"/>
        <w:rPr>
          <w:rFonts w:ascii="宋体" w:hAnsi="宋体" w:cs="宋体"/>
          <w:b/>
          <w:bCs/>
          <w:kern w:val="0"/>
          <w:sz w:val="56"/>
          <w:szCs w:val="56"/>
        </w:rPr>
      </w:pPr>
    </w:p>
    <w:p>
      <w:pPr>
        <w:spacing w:line="480" w:lineRule="exact"/>
        <w:ind w:firstLine="1124" w:firstLineChars="200"/>
        <w:rPr>
          <w:rFonts w:ascii="宋体" w:hAnsi="宋体" w:cs="宋体"/>
          <w:b/>
          <w:bCs/>
          <w:kern w:val="0"/>
          <w:sz w:val="56"/>
          <w:szCs w:val="56"/>
        </w:rPr>
      </w:pPr>
    </w:p>
    <w:tbl>
      <w:tblPr>
        <w:tblStyle w:val="10"/>
        <w:tblpPr w:leftFromText="180" w:rightFromText="180" w:vertAnchor="text" w:horzAnchor="margin" w:tblpXSpec="center" w:tblpY="313"/>
        <w:tblW w:w="9915"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91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评</w:t>
            </w:r>
          </w:p>
          <w:p>
            <w:pPr>
              <w:widowControl/>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rPr>
                <w:rFonts w:ascii="华文中宋" w:hAnsi="华文中宋" w:eastAsia="华文中宋" w:cs="宋体"/>
                <w:b/>
                <w:bCs/>
                <w:kern w:val="0"/>
                <w:sz w:val="52"/>
                <w:szCs w:val="52"/>
              </w:rPr>
            </w:pPr>
          </w:p>
          <w:p>
            <w:pPr>
              <w:widowControl/>
              <w:rPr>
                <w:rFonts w:ascii="华文中宋" w:hAnsi="华文中宋" w:eastAsia="华文中宋" w:cs="宋体"/>
                <w:b/>
                <w:bCs/>
                <w:kern w:val="0"/>
                <w:sz w:val="52"/>
                <w:szCs w:val="5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9915" w:type="dxa"/>
            <w:tcBorders>
              <w:top w:val="nil"/>
              <w:left w:val="nil"/>
              <w:bottom w:val="nil"/>
              <w:right w:val="nil"/>
            </w:tcBorders>
            <w:noWrap/>
          </w:tcPr>
          <w:p>
            <w:pPr>
              <w:widowControl/>
              <w:jc w:val="left"/>
              <w:rPr>
                <w:rFonts w:ascii="宋体" w:hAnsi="宋体" w:eastAsia="宋体" w:cs="宋体"/>
                <w:kern w:val="0"/>
                <w:sz w:val="36"/>
                <w:szCs w:val="36"/>
              </w:rPr>
            </w:pPr>
            <w:r>
              <w:rPr>
                <w:rFonts w:hint="eastAsia" w:ascii="宋体" w:hAnsi="宋体" w:eastAsia="宋体" w:cs="宋体"/>
                <w:kern w:val="0"/>
                <w:sz w:val="36"/>
                <w:szCs w:val="36"/>
              </w:rPr>
              <w:t xml:space="preserve">        </w:t>
            </w:r>
            <w:r>
              <w:rPr>
                <w:rFonts w:ascii="宋体" w:hAnsi="宋体" w:eastAsia="宋体" w:cs="宋体"/>
                <w:kern w:val="0"/>
                <w:sz w:val="36"/>
                <w:szCs w:val="36"/>
              </w:rPr>
              <w:t xml:space="preserve"> </w:t>
            </w:r>
            <w:r>
              <w:rPr>
                <w:rFonts w:hint="eastAsia" w:ascii="宋体" w:hAnsi="宋体" w:eastAsia="宋体" w:cs="宋体"/>
                <w:kern w:val="0"/>
                <w:sz w:val="36"/>
                <w:szCs w:val="36"/>
              </w:rPr>
              <w:t>申报单位:</w:t>
            </w:r>
            <w:r>
              <w:rPr>
                <w:rFonts w:hint="eastAsia" w:ascii="宋体" w:hAnsi="宋体" w:eastAsia="宋体" w:cs="宋体"/>
                <w:kern w:val="0"/>
                <w:sz w:val="36"/>
                <w:szCs w:val="36"/>
                <w:u w:val="single"/>
              </w:rPr>
              <w:t xml:space="preserve">           </w:t>
            </w:r>
            <w:r>
              <w:rPr>
                <w:rFonts w:ascii="宋体" w:hAnsi="宋体" w:eastAsia="宋体" w:cs="宋体"/>
                <w:kern w:val="0"/>
                <w:sz w:val="36"/>
                <w:szCs w:val="36"/>
                <w:u w:val="single"/>
              </w:rPr>
              <w:t xml:space="preserve"> </w:t>
            </w:r>
            <w:r>
              <w:rPr>
                <w:rFonts w:hint="eastAsia" w:ascii="宋体" w:hAnsi="宋体" w:eastAsia="宋体" w:cs="宋体"/>
                <w:kern w:val="0"/>
                <w:sz w:val="36"/>
                <w:szCs w:val="36"/>
                <w:u w:val="single"/>
              </w:rPr>
              <w:t xml:space="preserve">             </w:t>
            </w:r>
            <w:r>
              <w:rPr>
                <w:rFonts w:ascii="宋体" w:hAnsi="宋体" w:eastAsia="宋体" w:cs="宋体"/>
                <w:kern w:val="0"/>
                <w:sz w:val="36"/>
                <w:szCs w:val="36"/>
                <w:u w:val="single"/>
              </w:rPr>
              <w:t xml:space="preserve"> </w:t>
            </w:r>
            <w:r>
              <w:rPr>
                <w:rFonts w:hint="eastAsia" w:ascii="宋体" w:hAnsi="宋体" w:eastAsia="宋体" w:cs="宋体"/>
                <w:kern w:val="0"/>
                <w:sz w:val="36"/>
                <w:szCs w:val="36"/>
                <w:u w:val="single"/>
              </w:rPr>
              <w:t xml:space="preserve"> </w:t>
            </w:r>
            <w:r>
              <w:rPr>
                <w:rFonts w:ascii="宋体" w:hAnsi="宋体" w:eastAsia="宋体" w:cs="宋体"/>
                <w:kern w:val="0"/>
                <w:sz w:val="36"/>
                <w:szCs w:val="36"/>
                <w:u w:val="singl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9915" w:type="dxa"/>
            <w:tcBorders>
              <w:top w:val="nil"/>
              <w:left w:val="nil"/>
              <w:bottom w:val="nil"/>
              <w:right w:val="nil"/>
            </w:tcBorders>
            <w:noWrap/>
          </w:tcPr>
          <w:p>
            <w:pPr>
              <w:widowControl/>
              <w:ind w:firstLine="1620" w:firstLineChars="450"/>
              <w:jc w:val="left"/>
              <w:rPr>
                <w:rFonts w:ascii="宋体" w:hAnsi="宋体" w:eastAsia="宋体" w:cs="宋体"/>
                <w:kern w:val="0"/>
                <w:sz w:val="36"/>
                <w:szCs w:val="36"/>
              </w:rPr>
            </w:pPr>
            <w:r>
              <w:rPr>
                <w:rFonts w:hint="eastAsia" w:ascii="宋体" w:hAnsi="宋体"/>
                <w:kern w:val="0"/>
                <w:sz w:val="36"/>
                <w:szCs w:val="36"/>
              </w:rPr>
              <w:t>市场监管部门:</w:t>
            </w:r>
            <w:r>
              <w:rPr>
                <w:rFonts w:hint="eastAsia" w:ascii="宋体" w:hAnsi="宋体"/>
                <w:kern w:val="0"/>
                <w:sz w:val="36"/>
                <w:szCs w:val="36"/>
                <w:u w:val="single"/>
              </w:rPr>
              <w:t xml:space="preserve">                 （盖章）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tcPr>
          <w:p>
            <w:pPr>
              <w:widowControl/>
              <w:jc w:val="center"/>
              <w:rPr>
                <w:rFonts w:ascii="宋体" w:hAnsi="宋体" w:eastAsia="宋体" w:cs="宋体"/>
                <w:kern w:val="0"/>
                <w:sz w:val="36"/>
                <w:szCs w:val="36"/>
              </w:rPr>
            </w:pPr>
            <w:r>
              <w:rPr>
                <w:rFonts w:hint="eastAsia" w:ascii="宋体" w:hAnsi="宋体" w:eastAsia="宋体" w:cs="宋体"/>
                <w:kern w:val="0"/>
                <w:sz w:val="36"/>
                <w:szCs w:val="36"/>
              </w:rPr>
              <w:t xml:space="preserve"> 评价组长:</w:t>
            </w:r>
            <w:r>
              <w:rPr>
                <w:rFonts w:hint="eastAsia" w:ascii="宋体" w:hAnsi="宋体" w:eastAsia="宋体" w:cs="宋体"/>
                <w:kern w:val="0"/>
                <w:sz w:val="36"/>
                <w:szCs w:val="36"/>
                <w:u w:val="single"/>
              </w:rPr>
              <w:t xml:space="preserve">           </w:t>
            </w:r>
            <w:r>
              <w:rPr>
                <w:rFonts w:ascii="宋体" w:hAnsi="宋体" w:eastAsia="宋体" w:cs="宋体"/>
                <w:kern w:val="0"/>
                <w:sz w:val="36"/>
                <w:szCs w:val="36"/>
                <w:u w:val="single"/>
              </w:rPr>
              <w:t xml:space="preserve">   </w:t>
            </w:r>
            <w:r>
              <w:rPr>
                <w:rFonts w:hint="eastAsia" w:ascii="宋体" w:hAnsi="宋体" w:eastAsia="宋体" w:cs="宋体"/>
                <w:kern w:val="0"/>
                <w:sz w:val="36"/>
                <w:szCs w:val="36"/>
                <w:u w:val="single"/>
              </w:rPr>
              <w:t xml:space="preserve">        (签字)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tcPr>
          <w:p>
            <w:pPr>
              <w:widowControl/>
              <w:ind w:firstLine="1620" w:firstLineChars="450"/>
              <w:rPr>
                <w:rFonts w:ascii="宋体" w:hAnsi="宋体" w:eastAsia="宋体" w:cs="宋体"/>
                <w:kern w:val="0"/>
                <w:sz w:val="36"/>
                <w:szCs w:val="36"/>
              </w:rPr>
            </w:pPr>
            <w:r>
              <w:rPr>
                <w:rFonts w:hint="eastAsia" w:ascii="宋体" w:hAnsi="宋体" w:eastAsia="宋体" w:cs="宋体"/>
                <w:kern w:val="0"/>
                <w:sz w:val="36"/>
                <w:szCs w:val="36"/>
              </w:rPr>
              <w:t>评价日期:</w:t>
            </w:r>
            <w:r>
              <w:rPr>
                <w:rFonts w:hint="eastAsia" w:ascii="宋体" w:hAnsi="宋体" w:eastAsia="宋体" w:cs="宋体"/>
                <w:kern w:val="0"/>
                <w:sz w:val="36"/>
                <w:szCs w:val="36"/>
                <w:u w:val="single"/>
              </w:rPr>
              <w:t xml:space="preserve">        </w:t>
            </w:r>
            <w:r>
              <w:rPr>
                <w:rFonts w:hint="eastAsia" w:ascii="宋体" w:hAnsi="宋体" w:eastAsia="宋体" w:cs="宋体"/>
                <w:kern w:val="0"/>
                <w:sz w:val="36"/>
                <w:szCs w:val="36"/>
              </w:rPr>
              <w:t>年</w:t>
            </w:r>
            <w:r>
              <w:rPr>
                <w:rFonts w:hint="eastAsia" w:ascii="宋体" w:hAnsi="宋体" w:eastAsia="宋体" w:cs="宋体"/>
                <w:kern w:val="0"/>
                <w:sz w:val="36"/>
                <w:szCs w:val="36"/>
                <w:u w:val="single"/>
              </w:rPr>
              <w:t xml:space="preserve">      </w:t>
            </w:r>
            <w:r>
              <w:rPr>
                <w:rFonts w:hint="eastAsia" w:ascii="宋体" w:hAnsi="宋体" w:eastAsia="宋体" w:cs="宋体"/>
                <w:kern w:val="0"/>
                <w:sz w:val="36"/>
                <w:szCs w:val="36"/>
              </w:rPr>
              <w:t>月</w:t>
            </w:r>
            <w:r>
              <w:rPr>
                <w:rFonts w:hint="eastAsia" w:ascii="宋体" w:hAnsi="宋体" w:eastAsia="宋体" w:cs="宋体"/>
                <w:kern w:val="0"/>
                <w:sz w:val="36"/>
                <w:szCs w:val="36"/>
                <w:u w:val="single"/>
              </w:rPr>
              <w:t xml:space="preserve">      </w:t>
            </w:r>
            <w:r>
              <w:rPr>
                <w:rFonts w:hint="eastAsia" w:ascii="宋体" w:hAnsi="宋体" w:eastAsia="宋体" w:cs="宋体"/>
                <w:kern w:val="0"/>
                <w:sz w:val="36"/>
                <w:szCs w:val="36"/>
              </w:rPr>
              <w:t>日</w:t>
            </w:r>
          </w:p>
        </w:tc>
      </w:tr>
    </w:tbl>
    <w:p>
      <w:pPr>
        <w:jc w:val="center"/>
        <w:rPr>
          <w:rFonts w:ascii="宋体" w:hAnsi="宋体" w:eastAsia="宋体" w:cs="宋体"/>
          <w:b/>
          <w:bCs/>
          <w:kern w:val="0"/>
          <w:sz w:val="32"/>
          <w:szCs w:val="32"/>
        </w:rPr>
      </w:pPr>
    </w:p>
    <w:p>
      <w:pPr>
        <w:jc w:val="center"/>
        <w:rPr>
          <w:rFonts w:ascii="宋体" w:hAnsi="宋体" w:eastAsia="宋体" w:cs="宋体"/>
          <w:b/>
          <w:bCs/>
          <w:kern w:val="0"/>
          <w:sz w:val="32"/>
          <w:szCs w:val="32"/>
        </w:rPr>
      </w:pPr>
    </w:p>
    <w:p>
      <w:pPr>
        <w:jc w:val="center"/>
        <w:rPr>
          <w:rFonts w:ascii="宋体" w:hAnsi="宋体" w:eastAsia="宋体" w:cs="宋体"/>
          <w:b/>
          <w:bCs/>
          <w:kern w:val="0"/>
          <w:sz w:val="36"/>
          <w:szCs w:val="36"/>
        </w:rPr>
      </w:pPr>
      <w:bookmarkStart w:id="5" w:name="_Hlk132211756"/>
      <w:r>
        <w:rPr>
          <w:rFonts w:hint="eastAsia" w:ascii="宋体" w:hAnsi="宋体" w:eastAsia="宋体" w:cs="宋体"/>
          <w:b/>
          <w:bCs/>
          <w:kern w:val="0"/>
          <w:sz w:val="36"/>
          <w:szCs w:val="36"/>
        </w:rPr>
        <w:t>山东省“加油站诚信计量”评价记录</w:t>
      </w:r>
    </w:p>
    <w:bookmarkEnd w:id="5"/>
    <w:tbl>
      <w:tblPr>
        <w:tblStyle w:val="10"/>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850"/>
        <w:gridCol w:w="851"/>
        <w:gridCol w:w="2693"/>
        <w:gridCol w:w="1984"/>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tblHeader/>
          <w:jc w:val="center"/>
        </w:trPr>
        <w:tc>
          <w:tcPr>
            <w:tcW w:w="2122" w:type="dxa"/>
            <w:gridSpan w:val="3"/>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条款</w:t>
            </w:r>
          </w:p>
        </w:tc>
        <w:tc>
          <w:tcPr>
            <w:tcW w:w="2693" w:type="dxa"/>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评价要求</w:t>
            </w:r>
          </w:p>
        </w:tc>
        <w:tc>
          <w:tcPr>
            <w:tcW w:w="1984" w:type="dxa"/>
            <w:tcBorders>
              <w:right w:val="single" w:color="auto" w:sz="4" w:space="0"/>
            </w:tcBorders>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评价方法</w:t>
            </w:r>
          </w:p>
        </w:tc>
        <w:tc>
          <w:tcPr>
            <w:tcW w:w="709" w:type="dxa"/>
            <w:tcBorders>
              <w:right w:val="single" w:color="auto" w:sz="4" w:space="0"/>
            </w:tcBorders>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评价结果</w:t>
            </w:r>
          </w:p>
        </w:tc>
        <w:tc>
          <w:tcPr>
            <w:tcW w:w="709" w:type="dxa"/>
            <w:tcBorders>
              <w:right w:val="single" w:color="auto" w:sz="4" w:space="0"/>
            </w:tcBorders>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atLeast"/>
          <w:jc w:val="center"/>
        </w:trPr>
        <w:tc>
          <w:tcPr>
            <w:tcW w:w="421" w:type="dxa"/>
            <w:vMerge w:val="restart"/>
            <w:vAlign w:val="center"/>
          </w:tcPr>
          <w:p>
            <w:pPr>
              <w:jc w:val="center"/>
              <w:rPr>
                <w:rFonts w:ascii="楷体_GB2312" w:hAnsi="Times New Roman" w:eastAsia="楷体_GB2312" w:cs="Times New Roman"/>
                <w:sz w:val="20"/>
                <w:szCs w:val="20"/>
              </w:rPr>
            </w:pPr>
            <w:r>
              <w:rPr>
                <w:rFonts w:hint="eastAsia" w:ascii="楷体_GB2312" w:hAnsi="Times New Roman" w:eastAsia="楷体_GB2312" w:cs="Times New Roman"/>
                <w:sz w:val="20"/>
                <w:szCs w:val="20"/>
              </w:rPr>
              <w:t>4</w:t>
            </w:r>
          </w:p>
          <w:p>
            <w:pPr>
              <w:jc w:val="center"/>
              <w:rPr>
                <w:rFonts w:ascii="楷体_GB2312" w:hAnsi="Times New Roman" w:eastAsia="楷体_GB2312" w:cs="Times New Roman"/>
                <w:sz w:val="20"/>
                <w:szCs w:val="20"/>
              </w:rPr>
            </w:pPr>
            <w:r>
              <w:rPr>
                <w:rFonts w:hint="eastAsia" w:ascii="楷体_GB2312" w:hAnsi="Times New Roman" w:eastAsia="楷体_GB2312" w:cs="Times New Roman"/>
                <w:sz w:val="20"/>
                <w:szCs w:val="20"/>
              </w:rPr>
              <w:t>评价</w:t>
            </w:r>
          </w:p>
          <w:p>
            <w:pPr>
              <w:jc w:val="center"/>
              <w:rPr>
                <w:rFonts w:ascii="楷体_GB2312" w:hAnsi="Times New Roman" w:eastAsia="楷体_GB2312" w:cs="Times New Roman"/>
                <w:sz w:val="20"/>
                <w:szCs w:val="20"/>
              </w:rPr>
            </w:pPr>
            <w:r>
              <w:rPr>
                <w:rFonts w:hint="eastAsia" w:ascii="楷体_GB2312" w:hAnsi="Times New Roman" w:eastAsia="楷体_GB2312" w:cs="Times New Roman"/>
                <w:sz w:val="20"/>
                <w:szCs w:val="20"/>
              </w:rPr>
              <w:t>内容</w:t>
            </w: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ascii="仿宋_GB2312" w:hAnsi="Times New Roman" w:eastAsia="仿宋_GB2312" w:cs="Times New Roman"/>
                <w:sz w:val="18"/>
                <w:szCs w:val="18"/>
              </w:rPr>
              <w:t xml:space="preserve">4.1  </w:t>
            </w:r>
            <w:r>
              <w:rPr>
                <w:rFonts w:hint="eastAsia" w:ascii="仿宋_GB2312" w:hAnsi="Times New Roman" w:eastAsia="仿宋_GB2312" w:cs="Times New Roman"/>
                <w:sz w:val="18"/>
                <w:szCs w:val="18"/>
              </w:rPr>
              <w:t>基本</w:t>
            </w:r>
          </w:p>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要求</w:t>
            </w:r>
          </w:p>
        </w:tc>
        <w:tc>
          <w:tcPr>
            <w:tcW w:w="851" w:type="dxa"/>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hint="eastAsia" w:ascii="仿宋_GB2312" w:hAnsi="Times New Roman" w:eastAsia="仿宋_GB2312" w:cs="Times New Roman"/>
                <w:sz w:val="18"/>
                <w:szCs w:val="18"/>
              </w:rPr>
              <w:t>4.1.1</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应依法取得必要的营业执照、行政许可证并持续保持满足相应的经营条件。</w:t>
            </w:r>
          </w:p>
        </w:tc>
        <w:tc>
          <w:tcPr>
            <w:tcW w:w="1984" w:type="dxa"/>
            <w:tcBorders>
              <w:top w:val="nil"/>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4"/>
              </w:rPr>
            </w:pPr>
            <w:r>
              <w:rPr>
                <w:rFonts w:hint="eastAsia" w:ascii="仿宋_GB2312" w:hAnsi="Times New Roman" w:eastAsia="仿宋_GB2312" w:cs="Times New Roman"/>
                <w:sz w:val="18"/>
                <w:szCs w:val="18"/>
              </w:rPr>
              <w:t>不合格□</w:t>
            </w:r>
          </w:p>
        </w:tc>
        <w:tc>
          <w:tcPr>
            <w:tcW w:w="709" w:type="dxa"/>
            <w:vAlign w:val="center"/>
          </w:tcPr>
          <w:p>
            <w:pP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6"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楷体_GB2312" w:hAnsi="Times New Roman" w:eastAsia="楷体_GB2312" w:cs="Times New Roman"/>
                <w:sz w:val="24"/>
                <w:szCs w:val="24"/>
              </w:rPr>
            </w:pPr>
            <w:r>
              <w:rPr>
                <w:rFonts w:ascii="楷体_GB2312" w:hAnsi="Times New Roman" w:eastAsia="楷体_GB2312" w:cs="Times New Roman"/>
                <w:sz w:val="24"/>
                <w:szCs w:val="24"/>
              </w:rPr>
              <w:t>*</w:t>
            </w:r>
            <w:r>
              <w:rPr>
                <w:rFonts w:hint="eastAsia" w:ascii="仿宋_GB2312" w:hAnsi="Times New Roman" w:eastAsia="仿宋_GB2312" w:cs="Times New Roman"/>
                <w:sz w:val="18"/>
                <w:szCs w:val="18"/>
              </w:rPr>
              <w:t>4.1.2</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应遵守计量法律、法规和规章，制定诚信计量的方针、目标和管理制度，有效组织实施并持续改进，守法经营、诚信服务，自觉接受计量行政主管部门的计量监督。</w:t>
            </w:r>
          </w:p>
        </w:tc>
        <w:tc>
          <w:tcPr>
            <w:tcW w:w="1984"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709" w:type="dxa"/>
            <w:vAlign w:val="center"/>
          </w:tcPr>
          <w:p>
            <w:pP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6"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hint="eastAsia" w:ascii="仿宋_GB2312" w:hAnsi="Times New Roman" w:eastAsia="仿宋_GB2312" w:cs="Times New Roman"/>
                <w:sz w:val="18"/>
                <w:szCs w:val="18"/>
              </w:rPr>
              <w:t>4.1.3</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应建立诚信计量自我承诺制度，公开向消费者做出诚信计量方面的承诺，保证经营商品或者提供服务的计量准确，在日常经营活动中认真履行承诺，主动接受社会监督，保护消费者权益。</w:t>
            </w:r>
          </w:p>
        </w:tc>
        <w:tc>
          <w:tcPr>
            <w:tcW w:w="1984"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709" w:type="dxa"/>
            <w:vAlign w:val="center"/>
          </w:tcPr>
          <w:p>
            <w:pP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0" w:hRule="atLeast"/>
          <w:jc w:val="center"/>
        </w:trPr>
        <w:tc>
          <w:tcPr>
            <w:tcW w:w="421" w:type="dxa"/>
            <w:vMerge w:val="continue"/>
            <w:vAlign w:val="center"/>
          </w:tcPr>
          <w:p>
            <w:pPr>
              <w:jc w:val="center"/>
              <w:rPr>
                <w:rFonts w:ascii="楷体_GB2312" w:hAnsi="Times New Roman" w:eastAsia="楷体_GB2312" w:cs="Times New Roman"/>
                <w:sz w:val="24"/>
                <w:szCs w:val="24"/>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人员和制度管理</w:t>
            </w:r>
          </w:p>
          <w:p>
            <w:pPr>
              <w:spacing w:line="280" w:lineRule="exact"/>
              <w:ind w:left="-2" w:leftChars="-59" w:hanging="122" w:hangingChars="68"/>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5</w:t>
            </w:r>
            <w:r>
              <w:rPr>
                <w:rFonts w:hint="eastAsia" w:ascii="仿宋_GB2312" w:hAnsi="Times New Roman" w:eastAsia="仿宋_GB2312" w:cs="Times New Roman"/>
                <w:sz w:val="18"/>
                <w:szCs w:val="18"/>
              </w:rPr>
              <w:t>分）</w:t>
            </w: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.2.1</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管理责任部门及人员</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应根据经营情况设置计量管理责任部门或配备专（兼）职计量人员，负责加油站日常的各项计量管理工作。</w:t>
            </w:r>
          </w:p>
        </w:tc>
        <w:tc>
          <w:tcPr>
            <w:tcW w:w="1984"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查看管理制度、任命文件、记录，有任命文件，职责分工明确，记录中履行职责签字，此项满分</w:t>
            </w:r>
            <w:r>
              <w:rPr>
                <w:rFonts w:ascii="仿宋_GB2312" w:hAnsi="Times New Roman" w:eastAsia="仿宋_GB2312" w:cs="Times New Roman"/>
                <w:sz w:val="18"/>
                <w:szCs w:val="18"/>
              </w:rPr>
              <w:t>5</w:t>
            </w:r>
            <w:r>
              <w:rPr>
                <w:rFonts w:hint="eastAsia" w:ascii="仿宋_GB2312" w:hAnsi="Times New Roman" w:eastAsia="仿宋_GB2312" w:cs="Times New Roman"/>
                <w:sz w:val="18"/>
                <w:szCs w:val="18"/>
              </w:rPr>
              <w:t>分，缺一项扣1分，直至0分。</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4"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ind w:left="-2" w:leftChars="-59" w:hanging="122" w:hangingChars="68"/>
              <w:jc w:val="center"/>
              <w:rPr>
                <w:rFonts w:ascii="仿宋_GB2312" w:hAnsi="Times New Roman" w:eastAsia="仿宋_GB2312" w:cs="Times New Roman"/>
                <w:sz w:val="18"/>
                <w:szCs w:val="18"/>
              </w:rPr>
            </w:pPr>
          </w:p>
        </w:tc>
        <w:tc>
          <w:tcPr>
            <w:tcW w:w="851" w:type="dxa"/>
            <w:vAlign w:val="center"/>
          </w:tcPr>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.2.2</w:t>
            </w:r>
          </w:p>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管理制度</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并完善诚信经营计量管理制度，并有效贯彻实施，实施结果应有记录。计量管理制度应包括但不限于以下内容：1）贯彻计量法律法规的管理制度；2）计量管理机构及计量管理人员职责；3）计量器具配备、使用、维护、溯源检校等管理制度；4）诚信计量承诺制度；5）燃油销售标准作业规程；6）计量投诉处理制度。</w:t>
            </w:r>
          </w:p>
        </w:tc>
        <w:tc>
          <w:tcPr>
            <w:tcW w:w="1984"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查看管理制度，重点查看可操作性、通过查验记录检查执行情况，此项满分</w:t>
            </w:r>
            <w:r>
              <w:rPr>
                <w:rFonts w:ascii="仿宋_GB2312" w:hAnsi="Times New Roman" w:eastAsia="仿宋_GB2312" w:cs="Times New Roman"/>
                <w:sz w:val="18"/>
                <w:szCs w:val="18"/>
              </w:rPr>
              <w:t>12</w:t>
            </w:r>
            <w:r>
              <w:rPr>
                <w:rFonts w:hint="eastAsia" w:ascii="仿宋_GB2312" w:hAnsi="Times New Roman" w:eastAsia="仿宋_GB2312" w:cs="Times New Roman"/>
                <w:sz w:val="18"/>
                <w:szCs w:val="18"/>
              </w:rPr>
              <w:t>分，缺一项或内容不完整扣（1</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4"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ind w:left="-2" w:leftChars="-59" w:hanging="122" w:hangingChars="68"/>
              <w:jc w:val="center"/>
              <w:rPr>
                <w:rFonts w:ascii="仿宋_GB2312" w:hAnsi="Times New Roman" w:eastAsia="仿宋_GB2312" w:cs="Times New Roman"/>
                <w:sz w:val="18"/>
                <w:szCs w:val="18"/>
              </w:rPr>
            </w:pPr>
          </w:p>
        </w:tc>
        <w:tc>
          <w:tcPr>
            <w:tcW w:w="851" w:type="dxa"/>
            <w:vAlign w:val="center"/>
          </w:tcPr>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.2.3</w:t>
            </w:r>
          </w:p>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计量记录与档案管理</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制定使用过程中检查、维修维护等必要的记录格式，记录应包含足够的信息，清晰明了，有操作人员签字或标识，并妥善保管。记录与档案包括：计量设备一览表，计量器具周期检定登记管理卡，计量器具说明书，计量检定或校准证书，人员培训记录和岗位培训证书，加油机售油台帐，加油量核查记录，油品验收记录，油品质量检验报告，盘点记录等。</w:t>
            </w:r>
          </w:p>
        </w:tc>
        <w:tc>
          <w:tcPr>
            <w:tcW w:w="1984"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查看各类记录，缺少一项或记录不规范扣1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，此项满分</w:t>
            </w:r>
            <w:r>
              <w:rPr>
                <w:rFonts w:ascii="仿宋_GB2312" w:hAnsi="Times New Roman" w:eastAsia="仿宋_GB2312" w:cs="Times New Roman"/>
                <w:sz w:val="18"/>
                <w:szCs w:val="18"/>
              </w:rPr>
              <w:t>8</w:t>
            </w:r>
            <w:r>
              <w:rPr>
                <w:rFonts w:hint="eastAsia" w:ascii="仿宋_GB2312" w:hAnsi="Times New Roman" w:eastAsia="仿宋_GB2312" w:cs="Times New Roman"/>
                <w:sz w:val="18"/>
                <w:szCs w:val="18"/>
              </w:rPr>
              <w:t>分，缺一项扣1分，直至0分。</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3</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26</w:t>
            </w:r>
            <w:r>
              <w:rPr>
                <w:rFonts w:hint="eastAsia" w:ascii="仿宋_GB2312" w:hAnsi="Times New Roman" w:eastAsia="仿宋_GB2312" w:cs="Times New Roman"/>
                <w:sz w:val="18"/>
                <w:szCs w:val="18"/>
              </w:rPr>
              <w:t>分）</w:t>
            </w: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 xml:space="preserve">.3.1  </w:t>
            </w:r>
            <w:r>
              <w:rPr>
                <w:rFonts w:hint="eastAsia" w:ascii="仿宋_GB2312" w:hAnsi="Times New Roman" w:eastAsia="仿宋_GB2312" w:cs="Times New Roman"/>
                <w:sz w:val="18"/>
                <w:szCs w:val="18"/>
              </w:rPr>
              <w:t>计量器具配备</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根据营运和管理需要配备性能符合要求的各种计量设备，包括符合安全性、准确度和稳定性要求、符合税控要求的加油机；储油罐（应有容积换算表和液位计）；量油尺，温度计；标准计量罐（20升或50升）等。</w:t>
            </w:r>
          </w:p>
        </w:tc>
        <w:tc>
          <w:tcPr>
            <w:tcW w:w="1984" w:type="dxa"/>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按照种类检查计量器具实物</w:t>
            </w:r>
            <w:r>
              <w:rPr>
                <w:rFonts w:hint="eastAsia" w:ascii="仿宋_GB2312" w:hAnsi="Times New Roman" w:eastAsia="仿宋_GB2312" w:cs="Times New Roman"/>
                <w:sz w:val="18"/>
                <w:szCs w:val="18"/>
              </w:rPr>
              <w:t>，查看是否</w:t>
            </w:r>
            <w:r>
              <w:rPr>
                <w:rFonts w:ascii="仿宋_GB2312" w:hAnsi="Times New Roman" w:eastAsia="仿宋_GB2312" w:cs="Times New Roman"/>
                <w:sz w:val="18"/>
                <w:szCs w:val="18"/>
              </w:rPr>
              <w:t>配备并正常使用</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此项满分</w:t>
            </w:r>
            <w:r>
              <w:rPr>
                <w:rFonts w:hint="eastAsia" w:ascii="仿宋_GB2312" w:hAnsi="Times New Roman" w:eastAsia="仿宋_GB2312" w:cs="Times New Roman"/>
                <w:sz w:val="18"/>
                <w:szCs w:val="18"/>
              </w:rPr>
              <w:t>5</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缺一项扣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4.3.2  计量器具档案</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应建立计量器具管理档案，做好计量器具的日常维护、报废更新和日常自校等，掌握在用计量器具的使用状况，并做好状态标识和记录。强制检定的计量器具应登记造册，向当地市场监督管理部门备案。</w:t>
            </w:r>
          </w:p>
        </w:tc>
        <w:tc>
          <w:tcPr>
            <w:tcW w:w="1984"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建立完整档案得</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，配有</w:t>
            </w:r>
            <w:r>
              <w:rPr>
                <w:rFonts w:ascii="仿宋_GB2312" w:hAnsi="Times New Roman" w:eastAsia="仿宋_GB2312" w:cs="Times New Roman"/>
                <w:sz w:val="18"/>
                <w:szCs w:val="18"/>
              </w:rPr>
              <w:t>维护记录2分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状态标记齐备2分</w:t>
            </w:r>
            <w:r>
              <w:rPr>
                <w:rFonts w:hint="eastAsia" w:ascii="仿宋_GB2312" w:hAnsi="Times New Roman" w:eastAsia="仿宋_GB2312" w:cs="Times New Roman"/>
                <w:sz w:val="18"/>
                <w:szCs w:val="18"/>
              </w:rPr>
              <w:t>，全部</w:t>
            </w:r>
            <w:r>
              <w:rPr>
                <w:rFonts w:ascii="仿宋_GB2312" w:hAnsi="Times New Roman" w:eastAsia="仿宋_GB2312" w:cs="Times New Roman"/>
                <w:sz w:val="18"/>
                <w:szCs w:val="18"/>
              </w:rPr>
              <w:t>强制检定计量器具登记造册并备案得</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，满分8</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，缺少一项或内容不全扣（1</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 xml:space="preserve">.3.3 </w:t>
            </w:r>
            <w:r>
              <w:rPr>
                <w:rFonts w:hint="eastAsia" w:ascii="仿宋_GB2312" w:hAnsi="Times New Roman" w:eastAsia="仿宋_GB2312" w:cs="Times New Roman"/>
                <w:sz w:val="18"/>
                <w:szCs w:val="18"/>
              </w:rPr>
              <w:t>计量器具溯源</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属于强制检定范围的计量器具应执行强制检定，及时向法定计量检定机构申请周期检定。其他工作计量器具，应按要求自行选择非强制检定或者校准方式，保证量值准确。</w:t>
            </w:r>
          </w:p>
        </w:tc>
        <w:tc>
          <w:tcPr>
            <w:tcW w:w="1984"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查看强检计量器具检定检定证书，满分</w:t>
            </w:r>
            <w:r>
              <w:rPr>
                <w:rFonts w:hint="eastAsia" w:ascii="仿宋_GB2312" w:hAnsi="Times New Roman" w:eastAsia="仿宋_GB2312" w:cs="Times New Roman"/>
                <w:sz w:val="18"/>
                <w:szCs w:val="18"/>
                <w:lang w:val="en-US" w:eastAsia="zh-CN"/>
              </w:rPr>
              <w:t>10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 1</w:t>
            </w:r>
            <w:r>
              <w:rPr>
                <w:rFonts w:ascii="仿宋_GB2312" w:hAnsi="Times New Roman" w:eastAsia="仿宋_GB2312" w:cs="Times New Roman"/>
                <w:sz w:val="18"/>
                <w:szCs w:val="18"/>
              </w:rPr>
              <w:t>台件未按照规定检定</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非强制检定计量器具</w:t>
            </w:r>
            <w:r>
              <w:rPr>
                <w:rFonts w:hint="eastAsia" w:ascii="仿宋_GB2312" w:hAnsi="Times New Roman" w:eastAsia="仿宋_GB2312" w:cs="Times New Roman"/>
                <w:sz w:val="18"/>
                <w:szCs w:val="18"/>
              </w:rPr>
              <w:t>，满分</w:t>
            </w:r>
            <w:r>
              <w:rPr>
                <w:rFonts w:hint="eastAsia" w:ascii="仿宋_GB2312" w:hAnsi="Times New Roman" w:eastAsia="仿宋_GB2312" w:cs="Times New Roman"/>
                <w:sz w:val="18"/>
                <w:szCs w:val="18"/>
                <w:lang w:val="en-US" w:eastAsia="zh-CN"/>
              </w:rPr>
              <w:t>5</w:t>
            </w:r>
            <w:bookmarkStart w:id="11" w:name="_GoBack"/>
            <w:bookmarkEnd w:id="11"/>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 1</w:t>
            </w:r>
            <w:r>
              <w:rPr>
                <w:rFonts w:ascii="仿宋_GB2312" w:hAnsi="Times New Roman" w:eastAsia="仿宋_GB2312" w:cs="Times New Roman"/>
                <w:sz w:val="18"/>
                <w:szCs w:val="18"/>
              </w:rPr>
              <w:t>台件未按照规定检定</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4.3.4</w:t>
            </w:r>
            <w:r>
              <w:rPr>
                <w:rFonts w:ascii="仿宋_GB2312" w:hAnsi="Times New Roman" w:eastAsia="仿宋_GB2312" w:cs="Times New Roman"/>
                <w:sz w:val="18"/>
                <w:szCs w:val="18"/>
              </w:rPr>
              <w:t xml:space="preserve"> </w:t>
            </w:r>
            <w:r>
              <w:rPr>
                <w:rFonts w:hint="eastAsia" w:ascii="仿宋_GB2312" w:hAnsi="Times New Roman" w:eastAsia="仿宋_GB2312" w:cs="Times New Roman"/>
                <w:sz w:val="18"/>
                <w:szCs w:val="18"/>
              </w:rPr>
              <w:t>检定铅封和标志</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计量器具上的检定铅封和检定合格标志，应妥善维护，不得私自破坏。</w:t>
            </w:r>
          </w:p>
        </w:tc>
        <w:tc>
          <w:tcPr>
            <w:tcW w:w="1984"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现场抽查设备，发现破坏铅封扣3</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此项满分</w:t>
            </w:r>
            <w:r>
              <w:rPr>
                <w:rFonts w:hint="eastAsia" w:ascii="仿宋_GB2312" w:hAnsi="Times New Roman" w:eastAsia="仿宋_GB2312" w:cs="Times New Roman"/>
                <w:sz w:val="18"/>
                <w:szCs w:val="18"/>
              </w:rPr>
              <w:t>3</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检定合格标志缺少或损坏1</w:t>
            </w:r>
            <w:r>
              <w:rPr>
                <w:rFonts w:ascii="仿宋_GB2312" w:hAnsi="Times New Roman" w:eastAsia="仿宋_GB2312" w:cs="Times New Roman"/>
                <w:sz w:val="18"/>
                <w:szCs w:val="18"/>
              </w:rPr>
              <w:t>处</w:t>
            </w:r>
            <w:r>
              <w:rPr>
                <w:rFonts w:hint="eastAsia" w:ascii="仿宋_GB2312" w:hAnsi="Times New Roman" w:eastAsia="仿宋_GB2312" w:cs="Times New Roman"/>
                <w:sz w:val="18"/>
                <w:szCs w:val="18"/>
              </w:rPr>
              <w:t>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4.3.5  不合格计量器具的控制</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计量器具的准确度超出允差范围或出现故障的，应立即封存，贴上停用证标志，停止使用，并及时修理或更新，经检定合格或校准后再投入使用。</w:t>
            </w:r>
          </w:p>
        </w:tc>
        <w:tc>
          <w:tcPr>
            <w:tcW w:w="1984"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加油机停用，未贴停用标志的，维修后未通过检定投入使用的，发现1</w:t>
            </w:r>
            <w:r>
              <w:rPr>
                <w:rFonts w:ascii="仿宋_GB2312" w:hAnsi="Times New Roman" w:eastAsia="仿宋_GB2312" w:cs="Times New Roman"/>
                <w:sz w:val="18"/>
                <w:szCs w:val="18"/>
              </w:rPr>
              <w:t>台</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 xml:space="preserve">  </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油品计量管理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7</w:t>
            </w:r>
            <w:r>
              <w:rPr>
                <w:rFonts w:hint="eastAsia" w:ascii="仿宋_GB2312" w:hAnsi="Times New Roman" w:eastAsia="仿宋_GB2312" w:cs="Times New Roman"/>
                <w:sz w:val="18"/>
                <w:szCs w:val="18"/>
              </w:rPr>
              <w:t>分）</w:t>
            </w: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.1  加油</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操作</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应确保加油操作程序正确，加油量稳定、准确，加油单据数量、加油显示数量和售油台账登记数量一致。</w:t>
            </w:r>
          </w:p>
        </w:tc>
        <w:tc>
          <w:tcPr>
            <w:tcW w:w="1984" w:type="dxa"/>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检查加油机和台账</w:t>
            </w:r>
            <w:r>
              <w:rPr>
                <w:rFonts w:hint="eastAsia" w:ascii="仿宋_GB2312" w:hAnsi="Times New Roman" w:eastAsia="仿宋_GB2312" w:cs="Times New Roman"/>
                <w:sz w:val="18"/>
                <w:szCs w:val="18"/>
              </w:rPr>
              <w:t>，每</w:t>
            </w:r>
            <w:r>
              <w:rPr>
                <w:rFonts w:ascii="仿宋_GB2312" w:hAnsi="Times New Roman" w:eastAsia="仿宋_GB2312" w:cs="Times New Roman"/>
                <w:sz w:val="18"/>
                <w:szCs w:val="18"/>
              </w:rPr>
              <w:t>发现</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处问题</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3</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仿宋_GB2312" w:hAnsi="Times New Roman" w:eastAsia="仿宋_GB2312" w:cs="Times New Roman"/>
                <w:sz w:val="18"/>
                <w:szCs w:val="18"/>
              </w:rPr>
            </w:pP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.2  油罐</w:t>
            </w:r>
            <w:r>
              <w:rPr>
                <w:rFonts w:ascii="仿宋_GB2312" w:hAnsi="Times New Roman" w:eastAsia="仿宋_GB2312" w:cs="Times New Roman"/>
                <w:sz w:val="18"/>
                <w:szCs w:val="18"/>
              </w:rPr>
              <w:t>的</w:t>
            </w:r>
          </w:p>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测量</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在验收和盘点油品时，计量人员应使用相关计量设备，准确测量和计算油罐油品的体积。</w:t>
            </w:r>
          </w:p>
        </w:tc>
        <w:tc>
          <w:tcPr>
            <w:tcW w:w="1984" w:type="dxa"/>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询问验收</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盘点过程是否使用计量器具</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使用得</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计算正确得</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，满分3</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仿宋_GB2312" w:hAnsi="Times New Roman" w:eastAsia="仿宋_GB2312" w:cs="Times New Roman"/>
                <w:sz w:val="18"/>
                <w:szCs w:val="18"/>
              </w:rPr>
            </w:pP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.3  加油量</w:t>
            </w:r>
            <w:r>
              <w:rPr>
                <w:rFonts w:ascii="仿宋_GB2312" w:hAnsi="Times New Roman" w:eastAsia="仿宋_GB2312" w:cs="Times New Roman"/>
                <w:sz w:val="18"/>
                <w:szCs w:val="18"/>
              </w:rPr>
              <w:t>的</w:t>
            </w:r>
            <w:r>
              <w:rPr>
                <w:rFonts w:hint="eastAsia" w:ascii="仿宋_GB2312" w:hAnsi="Times New Roman" w:eastAsia="仿宋_GB2312" w:cs="Times New Roman"/>
                <w:sz w:val="18"/>
                <w:szCs w:val="18"/>
              </w:rPr>
              <w:t>评价</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应定期使用标准罐对加油量进行评价，评价的时间间隔不大于15日。</w:t>
            </w:r>
          </w:p>
        </w:tc>
        <w:tc>
          <w:tcPr>
            <w:tcW w:w="1984" w:type="dxa"/>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配备标准罐</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加</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标准罐经过溯源校准得</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评价时间符合要求得</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5</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仿宋_GB2312" w:hAnsi="Times New Roman" w:eastAsia="仿宋_GB2312" w:cs="Times New Roman"/>
                <w:sz w:val="18"/>
                <w:szCs w:val="18"/>
              </w:rPr>
            </w:pP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.4.4</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内部</w:t>
            </w:r>
          </w:p>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检查</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应加强日常经营活动中的计量管理，定期对在用计量器具、油品库存量、售出量以及相关计量记录进行检查，对现场发现的问题以及消费者的计量投诉，应及时分析原因，责任到人，制定纠正措施和预防措施。</w:t>
            </w:r>
          </w:p>
        </w:tc>
        <w:tc>
          <w:tcPr>
            <w:tcW w:w="1984"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查看管理制度、记录，制定较为详细的制度得2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定期盘点库存</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记录详实得</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，定期开展</w:t>
            </w:r>
            <w:r>
              <w:rPr>
                <w:rFonts w:ascii="仿宋_GB2312" w:hAnsi="Times New Roman" w:eastAsia="仿宋_GB2312" w:cs="Times New Roman"/>
                <w:sz w:val="18"/>
                <w:szCs w:val="18"/>
              </w:rPr>
              <w:t>计量分析</w:t>
            </w:r>
            <w:r>
              <w:rPr>
                <w:rFonts w:hint="eastAsia" w:ascii="仿宋_GB2312" w:hAnsi="Times New Roman" w:eastAsia="仿宋_GB2312" w:cs="Times New Roman"/>
                <w:sz w:val="18"/>
                <w:szCs w:val="18"/>
              </w:rPr>
              <w:t>研讨，查找</w:t>
            </w:r>
            <w:r>
              <w:rPr>
                <w:rFonts w:ascii="仿宋_GB2312" w:hAnsi="Times New Roman" w:eastAsia="仿宋_GB2312" w:cs="Times New Roman"/>
                <w:sz w:val="18"/>
                <w:szCs w:val="18"/>
              </w:rPr>
              <w:t>问题原因并制定相应措施</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得</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6</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仿宋_GB2312" w:hAnsi="Times New Roman" w:eastAsia="仿宋_GB2312" w:cs="Times New Roman"/>
                <w:sz w:val="18"/>
                <w:szCs w:val="18"/>
              </w:rPr>
            </w:pPr>
          </w:p>
        </w:tc>
        <w:tc>
          <w:tcPr>
            <w:tcW w:w="851" w:type="dxa"/>
            <w:vAlign w:val="center"/>
          </w:tcPr>
          <w:p>
            <w:pPr>
              <w:spacing w:line="280" w:lineRule="exact"/>
              <w:jc w:val="center"/>
              <w:rPr>
                <w:rFonts w:ascii="楷体_GB2312" w:hAnsi="Times New Roman" w:eastAsia="楷体_GB2312" w:cs="Times New Roman"/>
                <w:sz w:val="24"/>
                <w:szCs w:val="24"/>
              </w:rPr>
            </w:pPr>
            <w:r>
              <w:rPr>
                <w:rFonts w:ascii="楷体_GB2312" w:hAnsi="Times New Roman" w:eastAsia="楷体_GB2312" w:cs="Times New Roman"/>
                <w:sz w:val="24"/>
                <w:szCs w:val="24"/>
              </w:rPr>
              <w:t>*</w:t>
            </w:r>
            <w:r>
              <w:rPr>
                <w:rFonts w:hint="eastAsia" w:ascii="仿宋_GB2312" w:hAnsi="Times New Roman" w:eastAsia="仿宋_GB2312" w:cs="Times New Roman"/>
                <w:sz w:val="18"/>
                <w:szCs w:val="18"/>
              </w:rPr>
              <w:t>4.4.</w:t>
            </w:r>
            <w:r>
              <w:rPr>
                <w:rFonts w:ascii="仿宋_GB2312" w:hAnsi="Times New Roman" w:eastAsia="仿宋_GB2312" w:cs="Times New Roman"/>
                <w:sz w:val="18"/>
                <w:szCs w:val="18"/>
              </w:rPr>
              <w:t>5</w:t>
            </w:r>
            <w:r>
              <w:rPr>
                <w:rFonts w:hint="eastAsia" w:ascii="仿宋_GB2312" w:hAnsi="Times New Roman" w:eastAsia="仿宋_GB2312" w:cs="Times New Roman"/>
                <w:sz w:val="18"/>
                <w:szCs w:val="18"/>
              </w:rPr>
              <w:t xml:space="preserve">  外部检查</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应积极配合市场监管部门开展的计量监督检查和定量包装商品计量监督抽查，对市场监管部门提出的整改要求，要认真落实。</w:t>
            </w:r>
          </w:p>
        </w:tc>
        <w:tc>
          <w:tcPr>
            <w:tcW w:w="1984"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9" w:hRule="atLeast"/>
          <w:jc w:val="center"/>
        </w:trPr>
        <w:tc>
          <w:tcPr>
            <w:tcW w:w="421" w:type="dxa"/>
            <w:vMerge w:val="restart"/>
            <w:vAlign w:val="center"/>
          </w:tcPr>
          <w:p>
            <w:pPr>
              <w:jc w:val="center"/>
              <w:rPr>
                <w:rFonts w:ascii="楷体_GB2312" w:hAnsi="Times New Roman" w:eastAsia="楷体_GB2312" w:cs="Times New Roman"/>
                <w:sz w:val="20"/>
                <w:szCs w:val="20"/>
              </w:rPr>
            </w:pPr>
          </w:p>
        </w:tc>
        <w:tc>
          <w:tcPr>
            <w:tcW w:w="1701" w:type="dxa"/>
            <w:gridSpan w:val="2"/>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4.5</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定量包装商品管理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（3分）</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凡经营机油等定量包装商品的加油站应加强商品进货计量检验，进店销售的定量包装商品的净含量标注及净含量应符合国家《定量包装商品计量监督管理办法》的有关规定，定量包装商品计量抽查合格率应达到100%。</w:t>
            </w:r>
          </w:p>
        </w:tc>
        <w:tc>
          <w:tcPr>
            <w:tcW w:w="1984" w:type="dxa"/>
            <w:vAlign w:val="center"/>
          </w:tcPr>
          <w:p>
            <w:pPr>
              <w:jc w:val="left"/>
              <w:rPr>
                <w:rFonts w:ascii="Times New Roman" w:hAnsi="Times New Roman" w:eastAsia="宋体" w:cs="Times New Roman"/>
                <w:szCs w:val="24"/>
              </w:rPr>
            </w:pPr>
            <w:r>
              <w:rPr>
                <w:rFonts w:hint="eastAsia" w:ascii="仿宋_GB2312" w:hAnsi="Times New Roman" w:eastAsia="仿宋_GB2312" w:cs="Times New Roman"/>
                <w:sz w:val="18"/>
                <w:szCs w:val="18"/>
              </w:rPr>
              <w:t>查验定量包装商品标识是否符合定量包装标识要求，有条件的进行定量包装产品检测，发现违规行为扣1分，直至0分。此项满分3分。</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9"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4.6</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法定</w:t>
            </w:r>
            <w:r>
              <w:rPr>
                <w:rFonts w:ascii="仿宋_GB2312" w:hAnsi="Times New Roman" w:eastAsia="仿宋_GB2312" w:cs="Times New Roman"/>
                <w:sz w:val="18"/>
                <w:szCs w:val="18"/>
              </w:rPr>
              <w:t>计量单位管理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（9分）</w:t>
            </w:r>
          </w:p>
        </w:tc>
        <w:tc>
          <w:tcPr>
            <w:tcW w:w="851" w:type="dxa"/>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1</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计量单</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位使用</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应建立明码标价制度，正确使用国家法定计量单位，不得模糊、虚假计量。经营过程中使用的技术文件、计量设备、标价牌等均应采用国家法定计量单位。</w:t>
            </w:r>
          </w:p>
        </w:tc>
        <w:tc>
          <w:tcPr>
            <w:tcW w:w="1984" w:type="dxa"/>
            <w:vAlign w:val="center"/>
          </w:tcPr>
          <w:p>
            <w:pPr>
              <w:spacing w:line="280" w:lineRule="exact"/>
              <w:rPr>
                <w:rFonts w:ascii="Times New Roman" w:hAnsi="Times New Roman" w:eastAsia="宋体" w:cs="Times New Roman"/>
                <w:szCs w:val="24"/>
              </w:rPr>
            </w:pPr>
            <w:r>
              <w:rPr>
                <w:rFonts w:ascii="仿宋_GB2312" w:hAnsi="Times New Roman" w:eastAsia="仿宋_GB2312" w:cs="Times New Roman"/>
                <w:sz w:val="18"/>
                <w:szCs w:val="18"/>
              </w:rPr>
              <w:t>查看加油机</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经营过程</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制度和记录等是否规范使用国家法定单位</w:t>
            </w:r>
            <w:r>
              <w:rPr>
                <w:rFonts w:hint="eastAsia" w:ascii="仿宋_GB2312" w:hAnsi="Times New Roman" w:eastAsia="仿宋_GB2312" w:cs="Times New Roman"/>
                <w:sz w:val="18"/>
                <w:szCs w:val="18"/>
              </w:rPr>
              <w:t>，本项满分</w:t>
            </w:r>
            <w:r>
              <w:rPr>
                <w:rFonts w:ascii="仿宋_GB2312" w:hAnsi="Times New Roman" w:eastAsia="仿宋_GB2312" w:cs="Times New Roman"/>
                <w:sz w:val="18"/>
                <w:szCs w:val="18"/>
              </w:rPr>
              <w:t>5分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tcBorders>
              <w:bottom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p>
        </w:tc>
        <w:tc>
          <w:tcPr>
            <w:tcW w:w="851" w:type="dxa"/>
            <w:tcBorders>
              <w:bottom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零售</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结算</w:t>
            </w:r>
          </w:p>
        </w:tc>
        <w:tc>
          <w:tcPr>
            <w:tcW w:w="2693" w:type="dxa"/>
            <w:tcBorders>
              <w:bottom w:val="single" w:color="auto" w:sz="4" w:space="0"/>
            </w:tcBorders>
            <w:vAlign w:val="center"/>
          </w:tcPr>
          <w:p>
            <w:pPr>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应使用燃油加油机等计量器具进行成品油零售商品结算，并明示</w:t>
            </w:r>
            <w:bookmarkStart w:id="6" w:name="_Hlk134432139"/>
            <w:r>
              <w:rPr>
                <w:rFonts w:hint="eastAsia" w:ascii="仿宋_GB2312" w:hAnsi="Times New Roman" w:eastAsia="仿宋_GB2312" w:cs="Times New Roman"/>
                <w:sz w:val="18"/>
                <w:szCs w:val="18"/>
              </w:rPr>
              <w:t>国家法定</w:t>
            </w:r>
            <w:bookmarkEnd w:id="6"/>
            <w:r>
              <w:rPr>
                <w:rFonts w:hint="eastAsia" w:ascii="仿宋_GB2312" w:hAnsi="Times New Roman" w:eastAsia="仿宋_GB2312" w:cs="Times New Roman"/>
                <w:sz w:val="18"/>
                <w:szCs w:val="18"/>
              </w:rPr>
              <w:t>计量单位、计量过程和计量器具显示的量值，结算值应与实际值相符，其偏差不得超过国家规定的允许误差；国家对计量偏差没有规定的，其偏差不得超过所使用计量器具的允许误差不得估量计费。</w:t>
            </w:r>
          </w:p>
        </w:tc>
        <w:tc>
          <w:tcPr>
            <w:tcW w:w="1984" w:type="dxa"/>
            <w:tcBorders>
              <w:bottom w:val="single" w:color="auto" w:sz="4" w:space="0"/>
            </w:tcBorders>
            <w:vAlign w:val="center"/>
          </w:tcPr>
          <w:p>
            <w:pPr>
              <w:rPr>
                <w:rFonts w:ascii="Times New Roman" w:hAnsi="Times New Roman" w:eastAsia="宋体" w:cs="Times New Roman"/>
                <w:szCs w:val="24"/>
              </w:rPr>
            </w:pPr>
            <w:r>
              <w:rPr>
                <w:rFonts w:ascii="仿宋_GB2312" w:hAnsi="Times New Roman" w:eastAsia="仿宋_GB2312" w:cs="Times New Roman"/>
                <w:sz w:val="18"/>
                <w:szCs w:val="18"/>
              </w:rPr>
              <w:t>检查加油机等计量器具是否使用国家法定计量单位</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计量过程是否符合要求</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是否存在估算情况</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发现</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处</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tcBorders>
              <w:bottom w:val="single" w:color="auto" w:sz="4" w:space="0"/>
            </w:tcBorders>
            <w:vAlign w:val="center"/>
          </w:tcPr>
          <w:p>
            <w:pPr>
              <w:jc w:val="center"/>
              <w:rPr>
                <w:rFonts w:ascii="Times New Roman" w:hAnsi="Times New Roman" w:eastAsia="宋体" w:cs="Times New Roman"/>
                <w:szCs w:val="24"/>
              </w:rPr>
            </w:pPr>
          </w:p>
        </w:tc>
        <w:tc>
          <w:tcPr>
            <w:tcW w:w="709" w:type="dxa"/>
            <w:tcBorders>
              <w:bottom w:val="single" w:color="auto" w:sz="4" w:space="0"/>
            </w:tcBorders>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1701" w:type="dxa"/>
            <w:gridSpan w:val="2"/>
            <w:tcBorders>
              <w:bottom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4.7</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诚信计量承诺</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（6分）</w:t>
            </w:r>
          </w:p>
        </w:tc>
        <w:tc>
          <w:tcPr>
            <w:tcW w:w="2693" w:type="dxa"/>
            <w:tcBorders>
              <w:bottom w:val="single" w:color="auto" w:sz="4" w:space="0"/>
            </w:tcBorders>
          </w:tcPr>
          <w:p>
            <w:pPr>
              <w:spacing w:line="280" w:lineRule="exact"/>
              <w:rPr>
                <w:rFonts w:ascii="仿宋_GB2312" w:hAnsi="Times New Roman" w:eastAsia="仿宋_GB2312" w:cs="Times New Roman"/>
                <w:sz w:val="18"/>
                <w:szCs w:val="18"/>
              </w:rPr>
            </w:pPr>
            <w:bookmarkStart w:id="7" w:name="_Hlk139984766"/>
            <w:r>
              <w:rPr>
                <w:rFonts w:hint="eastAsia" w:ascii="仿宋_GB2312" w:hAnsi="Times New Roman" w:eastAsia="仿宋_GB2312" w:cs="Times New Roman"/>
                <w:sz w:val="18"/>
                <w:szCs w:val="18"/>
              </w:rPr>
              <w:t>应对诚信计量行为做出承诺，通过在经营场所、网站和APP等多途径明示《诚信计量承诺书》的形式向社会承诺诚信计量，公开接受社会监督，承诺内容应在显著位置公开，并在日常经营活动中认真履行承诺。</w:t>
            </w:r>
            <w:bookmarkEnd w:id="7"/>
          </w:p>
        </w:tc>
        <w:tc>
          <w:tcPr>
            <w:tcW w:w="1984" w:type="dxa"/>
            <w:tcBorders>
              <w:bottom w:val="single" w:color="auto" w:sz="4" w:space="0"/>
            </w:tcBorders>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制定诚信计量承诺，内容可量化可操作，酌情（1-3）分，在显著位置公开视落实情况酌情（1-3）分，满分6分。</w:t>
            </w:r>
          </w:p>
        </w:tc>
        <w:tc>
          <w:tcPr>
            <w:tcW w:w="709" w:type="dxa"/>
            <w:tcBorders>
              <w:bottom w:val="single" w:color="auto" w:sz="4" w:space="0"/>
            </w:tcBorders>
            <w:vAlign w:val="center"/>
          </w:tcPr>
          <w:p>
            <w:pPr>
              <w:jc w:val="center"/>
              <w:rPr>
                <w:rFonts w:ascii="Times New Roman" w:hAnsi="Times New Roman" w:eastAsia="宋体" w:cs="Times New Roman"/>
                <w:szCs w:val="24"/>
              </w:rPr>
            </w:pPr>
          </w:p>
        </w:tc>
        <w:tc>
          <w:tcPr>
            <w:tcW w:w="709" w:type="dxa"/>
            <w:tcBorders>
              <w:bottom w:val="single" w:color="auto" w:sz="4" w:space="0"/>
            </w:tcBorders>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1" w:hRule="atLeast"/>
          <w:jc w:val="center"/>
        </w:trPr>
        <w:tc>
          <w:tcPr>
            <w:tcW w:w="421" w:type="dxa"/>
            <w:vMerge w:val="continue"/>
          </w:tcPr>
          <w:p>
            <w:pPr>
              <w:jc w:val="center"/>
              <w:rPr>
                <w:rFonts w:ascii="楷体_GB2312" w:hAnsi="Times New Roman" w:eastAsia="楷体_GB2312" w:cs="Times New Roman"/>
                <w:sz w:val="20"/>
                <w:szCs w:val="20"/>
              </w:rPr>
            </w:pPr>
          </w:p>
        </w:tc>
        <w:tc>
          <w:tcPr>
            <w:tcW w:w="1701" w:type="dxa"/>
            <w:gridSpan w:val="2"/>
            <w:tcBorders>
              <w:top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.8</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公平罐的设立</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分）</w:t>
            </w:r>
          </w:p>
        </w:tc>
        <w:tc>
          <w:tcPr>
            <w:tcW w:w="269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应在站内显著、方便的位置设置公平罐（标准金属量器）。公平罐指引标识应清晰、明显。公平罐专人负责管理，在消费者需要时提供计量复验等公正计量服务。</w:t>
            </w:r>
          </w:p>
        </w:tc>
        <w:tc>
          <w:tcPr>
            <w:tcW w:w="1984"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设置公平罐得</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分，公平罐经检定合格得</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分。有明确指引和指定专人负责得</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分。满分</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分。</w:t>
            </w:r>
          </w:p>
        </w:tc>
        <w:tc>
          <w:tcPr>
            <w:tcW w:w="709" w:type="dxa"/>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szCs w:val="24"/>
              </w:rPr>
            </w:pPr>
          </w:p>
        </w:tc>
        <w:tc>
          <w:tcPr>
            <w:tcW w:w="709" w:type="dxa"/>
            <w:tcBorders>
              <w:top w:val="single" w:color="auto" w:sz="4" w:space="0"/>
              <w:left w:val="single" w:color="auto" w:sz="4" w:space="0"/>
              <w:bottom w:val="single" w:color="auto" w:sz="4" w:space="0"/>
            </w:tcBorders>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restart"/>
            <w:tcBorders>
              <w:top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ascii="仿宋_GB2312" w:hAnsi="Times New Roman" w:eastAsia="仿宋_GB2312" w:cs="Times New Roman"/>
                <w:sz w:val="18"/>
                <w:szCs w:val="18"/>
              </w:rPr>
              <w:t>4.9</w:t>
            </w:r>
            <w:r>
              <w:rPr>
                <w:rFonts w:hint="eastAsia" w:ascii="仿宋_GB2312" w:hAnsi="Times New Roman" w:eastAsia="仿宋_GB2312" w:cs="Times New Roman"/>
                <w:sz w:val="18"/>
                <w:szCs w:val="18"/>
              </w:rPr>
              <w:t xml:space="preserve">  计量投诉处理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分）</w:t>
            </w:r>
          </w:p>
        </w:tc>
        <w:tc>
          <w:tcPr>
            <w:tcW w:w="85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*4.9</w:t>
            </w:r>
            <w:r>
              <w:rPr>
                <w:rFonts w:hint="eastAsia" w:ascii="仿宋_GB2312" w:hAnsi="Times New Roman" w:eastAsia="仿宋_GB2312" w:cs="Times New Roman"/>
                <w:sz w:val="18"/>
                <w:szCs w:val="18"/>
              </w:rPr>
              <w:t>.1</w:t>
            </w:r>
          </w:p>
        </w:tc>
        <w:tc>
          <w:tcPr>
            <w:tcW w:w="2693"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各类投诉举报渠道，并指定专人负责计量投诉的受理、协调和处理工作，公开投诉举报电话，设立投诉意见箱，方便消费者的投诉和举报。对计量投诉事项，应及时公正处理，确保计量投诉处理完结率100%，切实保护消费者的合法权益。</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4"/>
              </w:rPr>
            </w:pPr>
            <w:r>
              <w:rPr>
                <w:rFonts w:hint="eastAsia" w:ascii="仿宋_GB2312" w:hAnsi="Times New Roman" w:eastAsia="仿宋_GB2312" w:cs="Times New Roman"/>
                <w:sz w:val="18"/>
                <w:szCs w:val="18"/>
              </w:rPr>
              <w:t>不合格□</w:t>
            </w:r>
          </w:p>
        </w:tc>
        <w:tc>
          <w:tcPr>
            <w:tcW w:w="709" w:type="dxa"/>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szCs w:val="24"/>
              </w:rPr>
            </w:pPr>
          </w:p>
        </w:tc>
        <w:tc>
          <w:tcPr>
            <w:tcW w:w="709" w:type="dxa"/>
            <w:tcBorders>
              <w:top w:val="single" w:color="auto" w:sz="4" w:space="0"/>
              <w:left w:val="single" w:color="auto" w:sz="4" w:space="0"/>
              <w:bottom w:val="single" w:color="auto" w:sz="4" w:space="0"/>
            </w:tcBorders>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continue"/>
            <w:tcBorders>
              <w:right w:val="single" w:color="auto" w:sz="4" w:space="0"/>
            </w:tcBorders>
            <w:vAlign w:val="center"/>
          </w:tcPr>
          <w:p>
            <w:pPr>
              <w:spacing w:line="280" w:lineRule="exact"/>
              <w:ind w:firstLine="360" w:firstLineChars="200"/>
              <w:jc w:val="center"/>
              <w:rPr>
                <w:rFonts w:ascii="仿宋_GB2312" w:hAnsi="Times New Roman" w:eastAsia="仿宋_GB2312" w:cs="Times New Roman"/>
                <w:sz w:val="18"/>
                <w:szCs w:val="18"/>
              </w:rPr>
            </w:pPr>
          </w:p>
        </w:tc>
        <w:tc>
          <w:tcPr>
            <w:tcW w:w="851" w:type="dxa"/>
            <w:tcBorders>
              <w:left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9</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p>
        </w:tc>
        <w:tc>
          <w:tcPr>
            <w:tcW w:w="2693" w:type="dxa"/>
            <w:vAlign w:val="center"/>
          </w:tcPr>
          <w:p>
            <w:pPr>
              <w:spacing w:line="280" w:lineRule="exact"/>
              <w:rPr>
                <w:rFonts w:ascii="仿宋_GB2312" w:hAnsi="Times New Roman" w:eastAsia="仿宋_GB2312" w:cs="Times New Roman"/>
                <w:sz w:val="18"/>
                <w:szCs w:val="18"/>
              </w:rPr>
            </w:pPr>
            <w:bookmarkStart w:id="8" w:name="_Hlk132207249"/>
            <w:r>
              <w:rPr>
                <w:rFonts w:hint="eastAsia" w:ascii="仿宋_GB2312" w:hAnsi="Times New Roman" w:eastAsia="仿宋_GB2312" w:cs="Times New Roman"/>
                <w:sz w:val="18"/>
                <w:szCs w:val="18"/>
              </w:rPr>
              <w:t>应建立计量投诉及处理日志制度，准确、完整记录计量投诉的受理、协调和处理情况。</w:t>
            </w:r>
            <w:bookmarkEnd w:id="8"/>
          </w:p>
        </w:tc>
        <w:tc>
          <w:tcPr>
            <w:tcW w:w="1984" w:type="dxa"/>
            <w:vAlign w:val="center"/>
          </w:tcPr>
          <w:p>
            <w:pPr>
              <w:jc w:val="left"/>
              <w:rPr>
                <w:rFonts w:ascii="Times New Roman" w:hAnsi="Times New Roman" w:eastAsia="宋体" w:cs="Times New Roman"/>
                <w:szCs w:val="24"/>
              </w:rPr>
            </w:pPr>
            <w:r>
              <w:rPr>
                <w:rFonts w:hint="eastAsia" w:ascii="仿宋_GB2312" w:hAnsi="Times New Roman" w:eastAsia="仿宋_GB2312" w:cs="Times New Roman"/>
                <w:sz w:val="18"/>
                <w:szCs w:val="18"/>
              </w:rPr>
              <w:t>建立计量投诉处理日志制度，准确计量计量投诉情况，处置及时合理，酌情（</w:t>
            </w:r>
            <w:r>
              <w:rPr>
                <w:rFonts w:ascii="仿宋_GB2312" w:hAnsi="Times New Roman" w:eastAsia="仿宋_GB2312" w:cs="Times New Roman"/>
                <w:sz w:val="18"/>
                <w:szCs w:val="18"/>
              </w:rPr>
              <w:t>0</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）分赋分。</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continue"/>
            <w:tcBorders>
              <w:right w:val="single" w:color="auto" w:sz="4" w:space="0"/>
            </w:tcBorders>
            <w:vAlign w:val="center"/>
          </w:tcPr>
          <w:p>
            <w:pPr>
              <w:spacing w:line="280" w:lineRule="exact"/>
              <w:ind w:firstLine="360" w:firstLineChars="200"/>
              <w:jc w:val="center"/>
              <w:rPr>
                <w:rFonts w:ascii="仿宋_GB2312" w:hAnsi="Times New Roman" w:eastAsia="仿宋_GB2312" w:cs="Times New Roman"/>
                <w:sz w:val="18"/>
                <w:szCs w:val="18"/>
              </w:rPr>
            </w:pPr>
          </w:p>
        </w:tc>
        <w:tc>
          <w:tcPr>
            <w:tcW w:w="851" w:type="dxa"/>
            <w:tcBorders>
              <w:left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ascii="仿宋_GB2312" w:hAnsi="Times New Roman" w:eastAsia="仿宋_GB2312" w:cs="Times New Roman"/>
                <w:sz w:val="18"/>
                <w:szCs w:val="18"/>
              </w:rPr>
              <w:t>4.9</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3</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应积极配合市场监管部门受理的关于该站的计量投诉调查，提供真实可靠的信息，协助计量纠纷调解工作。</w:t>
            </w:r>
          </w:p>
        </w:tc>
        <w:tc>
          <w:tcPr>
            <w:tcW w:w="1984"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4"/>
              </w:rPr>
            </w:pPr>
            <w:r>
              <w:rPr>
                <w:rFonts w:hint="eastAsia" w:ascii="仿宋_GB2312" w:hAnsi="Times New Roman" w:eastAsia="仿宋_GB2312" w:cs="Times New Roman"/>
                <w:sz w:val="18"/>
                <w:szCs w:val="18"/>
              </w:rPr>
              <w:t>不合格□</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continue"/>
            <w:tcBorders>
              <w:right w:val="single" w:color="auto" w:sz="4" w:space="0"/>
            </w:tcBorders>
            <w:vAlign w:val="center"/>
          </w:tcPr>
          <w:p>
            <w:pPr>
              <w:spacing w:line="280" w:lineRule="exact"/>
              <w:ind w:firstLine="360" w:firstLineChars="200"/>
              <w:jc w:val="center"/>
              <w:rPr>
                <w:rFonts w:ascii="仿宋_GB2312" w:hAnsi="Times New Roman" w:eastAsia="仿宋_GB2312" w:cs="Times New Roman"/>
                <w:sz w:val="18"/>
                <w:szCs w:val="18"/>
              </w:rPr>
            </w:pPr>
          </w:p>
        </w:tc>
        <w:tc>
          <w:tcPr>
            <w:tcW w:w="851" w:type="dxa"/>
            <w:tcBorders>
              <w:left w:val="single" w:color="auto" w:sz="4" w:space="0"/>
            </w:tcBorders>
            <w:vAlign w:val="center"/>
          </w:tcPr>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.9.4</w:t>
            </w:r>
          </w:p>
        </w:tc>
        <w:tc>
          <w:tcPr>
            <w:tcW w:w="269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应加强与顾客的沟通工作，通过开展各种公益、惠民等活动，提高顾客对加油站诚信经营的认知度、信任度。</w:t>
            </w:r>
          </w:p>
        </w:tc>
        <w:tc>
          <w:tcPr>
            <w:tcW w:w="1984"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查看制度、记录、照片等，召开座谈，征求意见得</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定制开展活动得</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满分3分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6"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4.10</w:t>
            </w:r>
            <w:r>
              <w:rPr>
                <w:rFonts w:hint="eastAsia" w:ascii="仿宋_GB2312" w:hAnsi="Times New Roman" w:eastAsia="仿宋_GB2312" w:cs="Times New Roman"/>
                <w:sz w:val="18"/>
                <w:szCs w:val="18"/>
              </w:rPr>
              <w:t xml:space="preserve"> </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 xml:space="preserve"> 其他</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要求</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5</w:t>
            </w:r>
            <w:r>
              <w:rPr>
                <w:rFonts w:hint="eastAsia" w:ascii="仿宋_GB2312" w:hAnsi="Times New Roman" w:eastAsia="仿宋_GB2312" w:cs="Times New Roman"/>
                <w:sz w:val="18"/>
                <w:szCs w:val="18"/>
              </w:rPr>
              <w:t>分）</w:t>
            </w:r>
          </w:p>
        </w:tc>
        <w:tc>
          <w:tcPr>
            <w:tcW w:w="851" w:type="dxa"/>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4.10.1</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明码标价</w:t>
            </w:r>
          </w:p>
        </w:tc>
        <w:tc>
          <w:tcPr>
            <w:tcW w:w="2693" w:type="dxa"/>
            <w:vAlign w:val="center"/>
          </w:tcPr>
          <w:p>
            <w:pPr>
              <w:spacing w:line="280" w:lineRule="exact"/>
              <w:rPr>
                <w:rFonts w:ascii="仿宋_GB2312" w:hAnsi="Times New Roman" w:eastAsia="仿宋_GB2312" w:cs="Times New Roman"/>
                <w:sz w:val="18"/>
                <w:szCs w:val="18"/>
                <w:highlight w:val="yellow"/>
              </w:rPr>
            </w:pPr>
            <w:r>
              <w:rPr>
                <w:rFonts w:hint="eastAsia" w:ascii="仿宋_GB2312" w:hAnsi="Times New Roman" w:eastAsia="仿宋_GB2312" w:cs="Times New Roman"/>
                <w:sz w:val="18"/>
                <w:szCs w:val="18"/>
              </w:rPr>
              <w:t>应当按照市场监督管理部门的规定明码标价。明码标价应当根据商品、服务等特点，做到真实准确、货签对位、标识醒目。</w:t>
            </w:r>
          </w:p>
        </w:tc>
        <w:tc>
          <w:tcPr>
            <w:tcW w:w="1984" w:type="dxa"/>
            <w:vAlign w:val="center"/>
          </w:tcPr>
          <w:p>
            <w:pPr>
              <w:spacing w:line="280" w:lineRule="exact"/>
              <w:rPr>
                <w:rFonts w:ascii="Times New Roman" w:hAnsi="Times New Roman" w:eastAsia="宋体" w:cs="Times New Roman"/>
                <w:szCs w:val="24"/>
                <w:highlight w:val="yellow"/>
              </w:rPr>
            </w:pPr>
            <w:r>
              <w:rPr>
                <w:rFonts w:hint="eastAsia" w:ascii="仿宋_GB2312" w:hAnsi="Times New Roman" w:eastAsia="仿宋_GB2312" w:cs="Times New Roman"/>
                <w:sz w:val="18"/>
                <w:szCs w:val="18"/>
              </w:rPr>
              <w:t>燃油或其他商品应明码标价，标价形式符合法定形式，此项满分2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每缺少</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处扣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仿宋_GB2312" w:hAnsi="Times New Roman" w:eastAsia="仿宋_GB2312" w:cs="Times New Roman"/>
                <w:sz w:val="18"/>
                <w:szCs w:val="18"/>
              </w:rPr>
            </w:pP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.10.2</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环境</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条件</w:t>
            </w:r>
          </w:p>
        </w:tc>
        <w:tc>
          <w:tcPr>
            <w:tcW w:w="2693" w:type="dxa"/>
            <w:vAlign w:val="center"/>
          </w:tcPr>
          <w:p>
            <w:pPr>
              <w:spacing w:line="280" w:lineRule="exact"/>
              <w:rPr>
                <w:rFonts w:ascii="仿宋_GB2312" w:hAnsi="Times New Roman" w:eastAsia="仿宋_GB2312" w:cs="Times New Roman"/>
                <w:sz w:val="18"/>
                <w:szCs w:val="18"/>
                <w:highlight w:val="yellow"/>
              </w:rPr>
            </w:pPr>
            <w:r>
              <w:rPr>
                <w:rFonts w:hint="eastAsia" w:ascii="仿宋_GB2312" w:hAnsi="Times New Roman" w:eastAsia="仿宋_GB2312" w:cs="Times New Roman"/>
                <w:sz w:val="18"/>
                <w:szCs w:val="18"/>
              </w:rPr>
              <w:t>加油站的环境（包括加油现场、交款和管理办公室）应符合消防安全要求，面积足够，整齐清洁，宽敞美观，车辆周转和人员操作方便。</w:t>
            </w:r>
          </w:p>
        </w:tc>
        <w:tc>
          <w:tcPr>
            <w:tcW w:w="1984" w:type="dxa"/>
            <w:vAlign w:val="center"/>
          </w:tcPr>
          <w:p>
            <w:pPr>
              <w:spacing w:line="280" w:lineRule="exact"/>
              <w:rPr>
                <w:rFonts w:ascii="仿宋_GB2312" w:hAnsi="Times New Roman" w:eastAsia="仿宋_GB2312" w:cs="Times New Roman"/>
                <w:sz w:val="18"/>
                <w:szCs w:val="18"/>
                <w:highlight w:val="yellow"/>
              </w:rPr>
            </w:pPr>
            <w:r>
              <w:rPr>
                <w:rFonts w:hint="eastAsia" w:ascii="仿宋_GB2312" w:hAnsi="Times New Roman" w:eastAsia="仿宋_GB2312" w:cs="Times New Roman"/>
                <w:sz w:val="18"/>
                <w:szCs w:val="18"/>
              </w:rPr>
              <w:t>环境整洁，加油站办公面积宽敞，场地安排合理等酌情（</w:t>
            </w:r>
            <w:r>
              <w:rPr>
                <w:rFonts w:ascii="仿宋_GB2312" w:hAnsi="Times New Roman" w:eastAsia="仿宋_GB2312" w:cs="Times New Roman"/>
                <w:sz w:val="18"/>
                <w:szCs w:val="18"/>
              </w:rPr>
              <w:t>0</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赋分。</w:t>
            </w:r>
          </w:p>
        </w:tc>
        <w:tc>
          <w:tcPr>
            <w:tcW w:w="709" w:type="dxa"/>
            <w:vAlign w:val="center"/>
          </w:tcPr>
          <w:p>
            <w:pPr>
              <w:jc w:val="center"/>
              <w:rPr>
                <w:rFonts w:ascii="Times New Roman" w:hAnsi="Times New Roman" w:eastAsia="宋体" w:cs="Times New Roman"/>
                <w:szCs w:val="24"/>
              </w:rPr>
            </w:pPr>
          </w:p>
        </w:tc>
        <w:tc>
          <w:tcPr>
            <w:tcW w:w="709" w:type="dxa"/>
          </w:tcPr>
          <w:p>
            <w:pPr>
              <w:rPr>
                <w:rFonts w:ascii="Times New Roman" w:hAnsi="Times New Roman" w:eastAsia="宋体" w:cs="Times New Roman"/>
                <w:szCs w:val="24"/>
              </w:rPr>
            </w:pPr>
          </w:p>
        </w:tc>
      </w:tr>
    </w:tbl>
    <w:p>
      <w:pPr>
        <w:widowControl/>
        <w:ind w:left="-357" w:leftChars="-170" w:right="-624" w:rightChars="-297" w:firstLine="420" w:firstLineChars="200"/>
        <w:jc w:val="left"/>
        <w:rPr>
          <w:rFonts w:ascii="仿宋_GB2312" w:hAnsi="宋体" w:eastAsia="仿宋_GB2312" w:cs="宋体"/>
          <w:kern w:val="0"/>
          <w:szCs w:val="21"/>
        </w:rPr>
      </w:pPr>
    </w:p>
    <w:p>
      <w:pPr>
        <w:widowControl/>
        <w:ind w:left="-357" w:leftChars="-170" w:right="-624" w:rightChars="-297"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评价组长：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组员：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 </w:t>
      </w:r>
      <w:r>
        <w:rPr>
          <w:rFonts w:ascii="仿宋_GB2312" w:hAnsi="宋体" w:eastAsia="仿宋_GB2312" w:cs="宋体"/>
          <w:kern w:val="0"/>
          <w:szCs w:val="21"/>
        </w:rPr>
        <w:t xml:space="preserve">             </w:t>
      </w:r>
      <w:r>
        <w:rPr>
          <w:rFonts w:hint="eastAsia" w:ascii="仿宋_GB2312" w:hAnsi="宋体" w:eastAsia="仿宋_GB2312" w:cs="宋体"/>
          <w:kern w:val="0"/>
          <w:szCs w:val="21"/>
        </w:rPr>
        <w:t>计量负责人：</w:t>
      </w:r>
    </w:p>
    <w:p>
      <w:pPr>
        <w:widowControl/>
        <w:ind w:left="-286" w:leftChars="-270" w:right="-624" w:rightChars="-297" w:hanging="281" w:hangingChars="134"/>
        <w:jc w:val="left"/>
        <w:rPr>
          <w:rFonts w:ascii="仿宋_GB2312" w:hAnsi="宋体" w:eastAsia="仿宋_GB2312" w:cs="宋体"/>
          <w:kern w:val="0"/>
          <w:szCs w:val="21"/>
        </w:rPr>
      </w:pPr>
    </w:p>
    <w:p>
      <w:pPr>
        <w:pStyle w:val="16"/>
        <w:widowControl/>
        <w:ind w:left="313" w:leftChars="67" w:right="-57" w:rightChars="-27" w:hanging="172" w:hangingChars="82"/>
        <w:jc w:val="left"/>
        <w:rPr>
          <w:rFonts w:ascii="仿宋_GB2312" w:hAnsi="宋体" w:eastAsia="仿宋_GB2312" w:cs="宋体"/>
          <w:kern w:val="0"/>
          <w:szCs w:val="21"/>
        </w:rPr>
      </w:pPr>
      <w:r>
        <w:rPr>
          <w:rFonts w:hint="eastAsia" w:ascii="仿宋_GB2312" w:hAnsi="宋体" w:eastAsia="仿宋_GB2312" w:cs="宋体"/>
          <w:kern w:val="0"/>
          <w:szCs w:val="21"/>
        </w:rPr>
        <w:t>1、按照表格评价方法进行打分，分数正整数，不要出现负数或小数。</w:t>
      </w:r>
    </w:p>
    <w:p>
      <w:pPr>
        <w:ind w:firstLine="140" w:firstLineChars="67"/>
        <w:jc w:val="left"/>
        <w:rPr>
          <w:rFonts w:ascii="仿宋_GB2312" w:hAnsi="Times New Roman" w:eastAsia="仿宋_GB2312" w:cs="Times New Roman"/>
          <w:szCs w:val="21"/>
        </w:rPr>
      </w:pPr>
      <w:r>
        <w:rPr>
          <w:rFonts w:hint="eastAsia" w:ascii="仿宋_GB2312" w:hAnsi="Times New Roman" w:eastAsia="仿宋_GB2312" w:cs="Times New Roman"/>
          <w:szCs w:val="21"/>
        </w:rPr>
        <w:t>2、创建诚信计量示范单位，*项不得出现不合格，出现一次，评价不予通过。</w:t>
      </w:r>
    </w:p>
    <w:p>
      <w:pPr>
        <w:ind w:firstLine="140" w:firstLineChars="67"/>
        <w:jc w:val="left"/>
        <w:rPr>
          <w:rFonts w:ascii="仿宋_GB2312" w:hAnsi="Times New Roman" w:eastAsia="仿宋_GB2312" w:cs="Times New Roman"/>
          <w:szCs w:val="21"/>
        </w:rPr>
      </w:pPr>
      <w:r>
        <w:rPr>
          <w:rFonts w:hint="eastAsia" w:ascii="仿宋_GB2312" w:hAnsi="Times New Roman" w:eastAsia="仿宋_GB2312" w:cs="Times New Roman"/>
          <w:szCs w:val="21"/>
        </w:rPr>
        <w:t>3、评价分数填入《评价得分统计表》。</w:t>
      </w:r>
      <w:r>
        <w:rPr>
          <w:rFonts w:ascii="仿宋_GB2312" w:hAnsi="Times New Roman" w:eastAsia="仿宋_GB2312" w:cs="Times New Roman"/>
          <w:szCs w:val="21"/>
        </w:rPr>
        <w:br w:type="page"/>
      </w:r>
    </w:p>
    <w:p>
      <w:pPr>
        <w:ind w:firstLine="242" w:firstLineChars="67"/>
        <w:jc w:val="left"/>
        <w:rPr>
          <w:rFonts w:ascii="宋体" w:hAnsi="宋体" w:eastAsia="宋体" w:cs="宋体"/>
          <w:b/>
          <w:bCs/>
          <w:kern w:val="0"/>
          <w:sz w:val="36"/>
          <w:szCs w:val="36"/>
        </w:rPr>
      </w:pPr>
    </w:p>
    <w:p>
      <w:pPr>
        <w:jc w:val="center"/>
        <w:rPr>
          <w:rFonts w:ascii="宋体" w:hAnsi="宋体" w:eastAsia="宋体" w:cs="宋体"/>
          <w:b/>
          <w:bCs/>
          <w:kern w:val="0"/>
          <w:sz w:val="36"/>
          <w:szCs w:val="36"/>
        </w:rPr>
      </w:pPr>
      <w:bookmarkStart w:id="9" w:name="_Hlk132213469"/>
      <w:r>
        <w:rPr>
          <w:rFonts w:hint="eastAsia" w:ascii="宋体" w:hAnsi="宋体" w:eastAsia="宋体" w:cs="宋体"/>
          <w:b/>
          <w:bCs/>
          <w:kern w:val="0"/>
          <w:sz w:val="36"/>
          <w:szCs w:val="36"/>
        </w:rPr>
        <w:t>山东省“加油站诚信计量”评价得分统计表</w:t>
      </w:r>
    </w:p>
    <w:p>
      <w:pPr>
        <w:spacing w:line="240" w:lineRule="exact"/>
        <w:jc w:val="center"/>
        <w:rPr>
          <w:rFonts w:ascii="宋体" w:hAnsi="宋体" w:eastAsia="宋体" w:cs="宋体"/>
          <w:b/>
          <w:bCs/>
          <w:kern w:val="0"/>
          <w:sz w:val="36"/>
          <w:szCs w:val="36"/>
        </w:rPr>
      </w:pPr>
    </w:p>
    <w:p>
      <w:pPr>
        <w:widowControl/>
        <w:ind w:firstLine="560" w:firstLineChars="200"/>
        <w:jc w:val="left"/>
        <w:rPr>
          <w:rFonts w:ascii="仿宋_GB2312" w:eastAsia="仿宋_GB2312"/>
          <w:sz w:val="28"/>
          <w:szCs w:val="28"/>
        </w:rPr>
      </w:pPr>
      <w:bookmarkStart w:id="10" w:name="_Hlk132213355"/>
      <w:r>
        <w:rPr>
          <w:rFonts w:ascii="仿宋_GB2312" w:eastAsia="仿宋_GB2312"/>
          <w:sz w:val="28"/>
          <w:szCs w:val="28"/>
        </w:rPr>
        <w:t>单位名称</w:t>
      </w:r>
      <w:r>
        <w:rPr>
          <w:rFonts w:hint="eastAsia" w:ascii="仿宋_GB2312" w:eastAsia="仿宋_GB2312"/>
          <w:sz w:val="28"/>
          <w:szCs w:val="28"/>
        </w:rPr>
        <w:t xml:space="preserve">： </w:t>
      </w:r>
      <w:r>
        <w:rPr>
          <w:rFonts w:ascii="仿宋_GB2312" w:eastAsia="仿宋_GB2312"/>
          <w:sz w:val="28"/>
          <w:szCs w:val="28"/>
        </w:rPr>
        <w:t xml:space="preserve">                     评价时间</w:t>
      </w:r>
      <w:r>
        <w:rPr>
          <w:rFonts w:hint="eastAsia" w:ascii="仿宋_GB2312" w:eastAsia="仿宋_GB2312"/>
          <w:sz w:val="28"/>
          <w:szCs w:val="28"/>
        </w:rPr>
        <w:t>：</w:t>
      </w:r>
    </w:p>
    <w:bookmarkEnd w:id="9"/>
    <w:bookmarkEnd w:id="10"/>
    <w:tbl>
      <w:tblPr>
        <w:tblStyle w:val="11"/>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3267"/>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对应条款号</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满分</w:t>
            </w:r>
          </w:p>
        </w:tc>
        <w:tc>
          <w:tcPr>
            <w:tcW w:w="2403" w:type="dxa"/>
          </w:tcPr>
          <w:p>
            <w:pPr>
              <w:widowControl/>
              <w:jc w:val="center"/>
              <w:rPr>
                <w:rFonts w:ascii="仿宋_GB2312" w:eastAsia="仿宋_GB2312"/>
                <w:sz w:val="28"/>
                <w:szCs w:val="28"/>
              </w:rPr>
            </w:pPr>
            <w:r>
              <w:rPr>
                <w:rFonts w:hint="eastAsia" w:ascii="仿宋_GB2312" w:eastAsia="仿宋_GB2312"/>
                <w:sz w:val="28"/>
                <w:szCs w:val="28"/>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.2</w:t>
            </w:r>
          </w:p>
        </w:tc>
        <w:tc>
          <w:tcPr>
            <w:tcW w:w="3267" w:type="dxa"/>
          </w:tcPr>
          <w:p>
            <w:pPr>
              <w:widowControl/>
              <w:jc w:val="center"/>
              <w:rPr>
                <w:rFonts w:ascii="仿宋_GB2312" w:eastAsia="仿宋_GB2312"/>
                <w:sz w:val="28"/>
                <w:szCs w:val="28"/>
              </w:rPr>
            </w:pPr>
            <w:r>
              <w:rPr>
                <w:rFonts w:ascii="仿宋_GB2312" w:eastAsia="仿宋_GB2312"/>
                <w:sz w:val="28"/>
                <w:szCs w:val="28"/>
              </w:rPr>
              <w:t>25</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.3</w:t>
            </w:r>
          </w:p>
        </w:tc>
        <w:tc>
          <w:tcPr>
            <w:tcW w:w="3267" w:type="dxa"/>
          </w:tcPr>
          <w:p>
            <w:pPr>
              <w:widowControl/>
              <w:jc w:val="center"/>
              <w:rPr>
                <w:rFonts w:ascii="仿宋_GB2312" w:eastAsia="仿宋_GB2312"/>
                <w:sz w:val="28"/>
                <w:szCs w:val="28"/>
              </w:rPr>
            </w:pPr>
            <w:r>
              <w:rPr>
                <w:rFonts w:ascii="仿宋_GB2312" w:eastAsia="仿宋_GB2312"/>
                <w:sz w:val="28"/>
                <w:szCs w:val="28"/>
              </w:rPr>
              <w:t>26</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.4</w:t>
            </w:r>
          </w:p>
        </w:tc>
        <w:tc>
          <w:tcPr>
            <w:tcW w:w="3267" w:type="dxa"/>
          </w:tcPr>
          <w:p>
            <w:pPr>
              <w:widowControl/>
              <w:jc w:val="center"/>
              <w:rPr>
                <w:rFonts w:ascii="仿宋_GB2312" w:eastAsia="仿宋_GB2312"/>
                <w:sz w:val="28"/>
                <w:szCs w:val="28"/>
              </w:rPr>
            </w:pPr>
            <w:r>
              <w:rPr>
                <w:rFonts w:ascii="仿宋_GB2312" w:eastAsia="仿宋_GB2312"/>
                <w:sz w:val="28"/>
                <w:szCs w:val="28"/>
              </w:rPr>
              <w:t>17</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.5</w:t>
            </w:r>
          </w:p>
        </w:tc>
        <w:tc>
          <w:tcPr>
            <w:tcW w:w="3267" w:type="dxa"/>
          </w:tcPr>
          <w:p>
            <w:pPr>
              <w:widowControl/>
              <w:jc w:val="center"/>
              <w:rPr>
                <w:rFonts w:ascii="仿宋_GB2312" w:eastAsia="仿宋_GB2312"/>
                <w:sz w:val="28"/>
                <w:szCs w:val="28"/>
              </w:rPr>
            </w:pPr>
            <w:r>
              <w:rPr>
                <w:rFonts w:ascii="仿宋_GB2312" w:eastAsia="仿宋_GB2312"/>
                <w:sz w:val="28"/>
                <w:szCs w:val="28"/>
              </w:rPr>
              <w:t>3</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.6</w:t>
            </w:r>
          </w:p>
        </w:tc>
        <w:tc>
          <w:tcPr>
            <w:tcW w:w="3267" w:type="dxa"/>
          </w:tcPr>
          <w:p>
            <w:pPr>
              <w:widowControl/>
              <w:jc w:val="center"/>
              <w:rPr>
                <w:rFonts w:ascii="仿宋_GB2312" w:eastAsia="仿宋_GB2312"/>
                <w:sz w:val="28"/>
                <w:szCs w:val="28"/>
              </w:rPr>
            </w:pPr>
            <w:r>
              <w:rPr>
                <w:rFonts w:ascii="仿宋_GB2312" w:eastAsia="仿宋_GB2312"/>
                <w:sz w:val="28"/>
                <w:szCs w:val="28"/>
              </w:rPr>
              <w:t>9</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.7</w:t>
            </w:r>
          </w:p>
        </w:tc>
        <w:tc>
          <w:tcPr>
            <w:tcW w:w="3267" w:type="dxa"/>
          </w:tcPr>
          <w:p>
            <w:pPr>
              <w:widowControl/>
              <w:jc w:val="center"/>
              <w:rPr>
                <w:rFonts w:ascii="仿宋_GB2312" w:eastAsia="仿宋_GB2312"/>
                <w:sz w:val="28"/>
                <w:szCs w:val="28"/>
              </w:rPr>
            </w:pPr>
            <w:r>
              <w:rPr>
                <w:rFonts w:ascii="仿宋_GB2312" w:eastAsia="仿宋_GB2312"/>
                <w:sz w:val="28"/>
                <w:szCs w:val="28"/>
              </w:rPr>
              <w:t>6</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.8</w:t>
            </w:r>
          </w:p>
        </w:tc>
        <w:tc>
          <w:tcPr>
            <w:tcW w:w="3267" w:type="dxa"/>
          </w:tcPr>
          <w:p>
            <w:pPr>
              <w:widowControl/>
              <w:jc w:val="center"/>
              <w:rPr>
                <w:rFonts w:ascii="仿宋_GB2312" w:eastAsia="仿宋_GB2312"/>
                <w:sz w:val="28"/>
                <w:szCs w:val="28"/>
              </w:rPr>
            </w:pPr>
            <w:r>
              <w:rPr>
                <w:rFonts w:ascii="仿宋_GB2312" w:eastAsia="仿宋_GB2312"/>
                <w:sz w:val="28"/>
                <w:szCs w:val="28"/>
              </w:rPr>
              <w:t>3</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.9</w:t>
            </w:r>
          </w:p>
        </w:tc>
        <w:tc>
          <w:tcPr>
            <w:tcW w:w="3267" w:type="dxa"/>
          </w:tcPr>
          <w:p>
            <w:pPr>
              <w:widowControl/>
              <w:jc w:val="center"/>
              <w:rPr>
                <w:rFonts w:ascii="仿宋_GB2312" w:eastAsia="仿宋_GB2312"/>
                <w:sz w:val="28"/>
                <w:szCs w:val="28"/>
              </w:rPr>
            </w:pPr>
            <w:r>
              <w:rPr>
                <w:rFonts w:ascii="仿宋_GB2312" w:eastAsia="仿宋_GB2312"/>
                <w:sz w:val="28"/>
                <w:szCs w:val="28"/>
              </w:rPr>
              <w:t>6</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.10</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5</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合计</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100</w:t>
            </w:r>
          </w:p>
        </w:tc>
        <w:tc>
          <w:tcPr>
            <w:tcW w:w="2403" w:type="dxa"/>
          </w:tcPr>
          <w:p>
            <w:pPr>
              <w:widowControl/>
              <w:jc w:val="left"/>
              <w:rPr>
                <w:rFonts w:ascii="仿宋_GB2312" w:eastAsia="仿宋_GB2312"/>
                <w:sz w:val="28"/>
                <w:szCs w:val="28"/>
              </w:rPr>
            </w:pPr>
          </w:p>
        </w:tc>
      </w:tr>
    </w:tbl>
    <w:p>
      <w:pPr>
        <w:widowControl/>
        <w:ind w:left="-357" w:leftChars="-170" w:right="-624" w:rightChars="-297" w:firstLine="420" w:firstLineChars="200"/>
        <w:jc w:val="left"/>
        <w:rPr>
          <w:rFonts w:ascii="仿宋_GB2312" w:hAnsi="宋体" w:eastAsia="仿宋_GB2312" w:cs="宋体"/>
          <w:kern w:val="0"/>
          <w:szCs w:val="21"/>
        </w:rPr>
      </w:pPr>
    </w:p>
    <w:p>
      <w:pPr>
        <w:widowControl/>
        <w:ind w:left="-357" w:leftChars="-170" w:right="-624" w:rightChars="-297" w:firstLine="630" w:firstLineChars="300"/>
        <w:jc w:val="left"/>
        <w:rPr>
          <w:rFonts w:ascii="仿宋_GB2312" w:hAnsi="宋体" w:eastAsia="仿宋_GB2312" w:cs="宋体"/>
          <w:kern w:val="0"/>
          <w:szCs w:val="21"/>
        </w:rPr>
      </w:pPr>
      <w:r>
        <w:rPr>
          <w:rFonts w:hint="eastAsia" w:ascii="仿宋_GB2312" w:hAnsi="宋体" w:eastAsia="仿宋_GB2312" w:cs="宋体"/>
          <w:kern w:val="0"/>
          <w:szCs w:val="21"/>
        </w:rPr>
        <w:t xml:space="preserve">评价组长：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组员： </w:t>
      </w:r>
      <w:r>
        <w:rPr>
          <w:rFonts w:ascii="仿宋_GB2312" w:hAnsi="宋体" w:eastAsia="仿宋_GB2312" w:cs="宋体"/>
          <w:kern w:val="0"/>
          <w:szCs w:val="21"/>
        </w:rPr>
        <w:t xml:space="preserve">                 </w:t>
      </w:r>
      <w:r>
        <w:rPr>
          <w:rFonts w:hint="eastAsia" w:ascii="仿宋_GB2312" w:hAnsi="宋体" w:eastAsia="仿宋_GB2312" w:cs="宋体"/>
          <w:kern w:val="0"/>
          <w:szCs w:val="21"/>
        </w:rPr>
        <w:t>计量负责人：</w:t>
      </w:r>
    </w:p>
    <w:p>
      <w:pPr>
        <w:widowControl/>
        <w:jc w:val="left"/>
        <w:rPr>
          <w:rFonts w:ascii="仿宋_GB2312" w:eastAsia="仿宋_GB2312"/>
          <w:sz w:val="32"/>
          <w:szCs w:val="32"/>
        </w:rPr>
      </w:pPr>
    </w:p>
    <w:p>
      <w:pPr>
        <w:widowControl/>
        <w:jc w:val="left"/>
        <w:rPr>
          <w:rFonts w:ascii="仿宋_GB2312" w:eastAsia="仿宋_GB2312"/>
          <w:sz w:val="32"/>
          <w:szCs w:val="32"/>
        </w:rPr>
      </w:pPr>
    </w:p>
    <w:p>
      <w:pPr>
        <w:widowControl/>
        <w:jc w:val="left"/>
        <w:rPr>
          <w:rFonts w:ascii="仿宋_GB2312" w:eastAsia="仿宋_GB2312"/>
          <w:sz w:val="32"/>
          <w:szCs w:val="32"/>
        </w:rPr>
      </w:pPr>
    </w:p>
    <w:p>
      <w:pPr>
        <w:widowControl/>
        <w:jc w:val="left"/>
        <w:rPr>
          <w:rFonts w:ascii="仿宋_GB2312" w:eastAsia="仿宋_GB2312"/>
          <w:sz w:val="32"/>
          <w:szCs w:val="32"/>
        </w:rPr>
      </w:pPr>
    </w:p>
    <w:p>
      <w:pPr>
        <w:widowControl/>
        <w:jc w:val="lef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方正小标宋简体">
    <w:panose1 w:val="02000000000000000000"/>
    <w:charset w:val="86"/>
    <w:family w:val="script"/>
    <w:pitch w:val="default"/>
    <w:sig w:usb0="00000001" w:usb1="080E0000" w:usb2="00000000" w:usb3="00000000" w:csb0="00040000" w:csb1="00000000"/>
  </w:font>
  <w:font w:name="PMingLiU">
    <w:altName w:val="Microsoft JhengHei"/>
    <w:panose1 w:val="02010601000101010101"/>
    <w:charset w:val="88"/>
    <w:family w:val="roman"/>
    <w:pitch w:val="default"/>
    <w:sig w:usb0="00000000" w:usb1="00000000"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607804"/>
    </w:sdtPr>
    <w:sdtContent>
      <w:p>
        <w:pPr>
          <w:pStyle w:val="7"/>
          <w:jc w:val="center"/>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AB03A1"/>
    <w:multiLevelType w:val="multilevel"/>
    <w:tmpl w:val="27AB03A1"/>
    <w:lvl w:ilvl="0" w:tentative="0">
      <w:start w:val="1"/>
      <w:numFmt w:val="decimal"/>
      <w:lvlText w:val="%1"/>
      <w:lvlJc w:val="left"/>
      <w:pPr>
        <w:ind w:left="490" w:hanging="4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liYTU1NWI2OWJmOTMzYTUxZTY3OTc4ODI1YWRhOGEifQ=="/>
  </w:docVars>
  <w:rsids>
    <w:rsidRoot w:val="000816AC"/>
    <w:rsid w:val="00002991"/>
    <w:rsid w:val="00013453"/>
    <w:rsid w:val="0002482E"/>
    <w:rsid w:val="000404CF"/>
    <w:rsid w:val="00041035"/>
    <w:rsid w:val="000427F2"/>
    <w:rsid w:val="00044162"/>
    <w:rsid w:val="000450AB"/>
    <w:rsid w:val="00051E8E"/>
    <w:rsid w:val="000539AD"/>
    <w:rsid w:val="000816AC"/>
    <w:rsid w:val="00081750"/>
    <w:rsid w:val="00086CFF"/>
    <w:rsid w:val="000904FE"/>
    <w:rsid w:val="00090D60"/>
    <w:rsid w:val="00093360"/>
    <w:rsid w:val="00093DBE"/>
    <w:rsid w:val="000952F8"/>
    <w:rsid w:val="000A045B"/>
    <w:rsid w:val="000A144D"/>
    <w:rsid w:val="000A3D88"/>
    <w:rsid w:val="000A4F2A"/>
    <w:rsid w:val="000A6D45"/>
    <w:rsid w:val="000B03CC"/>
    <w:rsid w:val="000B329F"/>
    <w:rsid w:val="000C20A7"/>
    <w:rsid w:val="000C2D51"/>
    <w:rsid w:val="000C7769"/>
    <w:rsid w:val="000D0C5D"/>
    <w:rsid w:val="000D693F"/>
    <w:rsid w:val="000D7CF1"/>
    <w:rsid w:val="000E1535"/>
    <w:rsid w:val="000E55A3"/>
    <w:rsid w:val="000F0503"/>
    <w:rsid w:val="000F17BE"/>
    <w:rsid w:val="000F1D74"/>
    <w:rsid w:val="00103A24"/>
    <w:rsid w:val="0010494B"/>
    <w:rsid w:val="00106494"/>
    <w:rsid w:val="00111260"/>
    <w:rsid w:val="00115223"/>
    <w:rsid w:val="00126219"/>
    <w:rsid w:val="00126C00"/>
    <w:rsid w:val="00130967"/>
    <w:rsid w:val="0013402D"/>
    <w:rsid w:val="001360A5"/>
    <w:rsid w:val="00141397"/>
    <w:rsid w:val="00141E3C"/>
    <w:rsid w:val="001443F9"/>
    <w:rsid w:val="00144492"/>
    <w:rsid w:val="001462A8"/>
    <w:rsid w:val="00147C3B"/>
    <w:rsid w:val="00152187"/>
    <w:rsid w:val="00153478"/>
    <w:rsid w:val="00153CD1"/>
    <w:rsid w:val="0015605E"/>
    <w:rsid w:val="00160E98"/>
    <w:rsid w:val="0016286A"/>
    <w:rsid w:val="00167C09"/>
    <w:rsid w:val="0017363C"/>
    <w:rsid w:val="001751EF"/>
    <w:rsid w:val="001759D8"/>
    <w:rsid w:val="00182804"/>
    <w:rsid w:val="00187CBC"/>
    <w:rsid w:val="00194E16"/>
    <w:rsid w:val="001A17C5"/>
    <w:rsid w:val="001A436C"/>
    <w:rsid w:val="001A450A"/>
    <w:rsid w:val="001A4733"/>
    <w:rsid w:val="001C061D"/>
    <w:rsid w:val="001C276E"/>
    <w:rsid w:val="001C672E"/>
    <w:rsid w:val="001D6933"/>
    <w:rsid w:val="001E318D"/>
    <w:rsid w:val="001F1AD1"/>
    <w:rsid w:val="001F565F"/>
    <w:rsid w:val="001F689E"/>
    <w:rsid w:val="001F7E1F"/>
    <w:rsid w:val="00200ADE"/>
    <w:rsid w:val="0020154D"/>
    <w:rsid w:val="00204EA5"/>
    <w:rsid w:val="00205063"/>
    <w:rsid w:val="002052E3"/>
    <w:rsid w:val="0022054C"/>
    <w:rsid w:val="00222E9F"/>
    <w:rsid w:val="002268E8"/>
    <w:rsid w:val="0023042E"/>
    <w:rsid w:val="002327E0"/>
    <w:rsid w:val="00240552"/>
    <w:rsid w:val="0024544A"/>
    <w:rsid w:val="00250593"/>
    <w:rsid w:val="00250C1C"/>
    <w:rsid w:val="00254BF6"/>
    <w:rsid w:val="002564AB"/>
    <w:rsid w:val="00256C17"/>
    <w:rsid w:val="00260835"/>
    <w:rsid w:val="00263E5A"/>
    <w:rsid w:val="00264613"/>
    <w:rsid w:val="0027147E"/>
    <w:rsid w:val="00282375"/>
    <w:rsid w:val="002823FB"/>
    <w:rsid w:val="00282922"/>
    <w:rsid w:val="00283068"/>
    <w:rsid w:val="002874F6"/>
    <w:rsid w:val="00287BC8"/>
    <w:rsid w:val="00295740"/>
    <w:rsid w:val="00296EC8"/>
    <w:rsid w:val="002A5E14"/>
    <w:rsid w:val="002B2E0B"/>
    <w:rsid w:val="002B3EBA"/>
    <w:rsid w:val="002B45BD"/>
    <w:rsid w:val="002B467D"/>
    <w:rsid w:val="002B60E7"/>
    <w:rsid w:val="002B7336"/>
    <w:rsid w:val="002C2F47"/>
    <w:rsid w:val="002C40BE"/>
    <w:rsid w:val="002C4901"/>
    <w:rsid w:val="002D0ADE"/>
    <w:rsid w:val="002D3661"/>
    <w:rsid w:val="002D6D2F"/>
    <w:rsid w:val="002E110A"/>
    <w:rsid w:val="002E5005"/>
    <w:rsid w:val="002E5DCB"/>
    <w:rsid w:val="002E65A0"/>
    <w:rsid w:val="002F099B"/>
    <w:rsid w:val="002F1495"/>
    <w:rsid w:val="002F259C"/>
    <w:rsid w:val="002F27E5"/>
    <w:rsid w:val="002F4CF0"/>
    <w:rsid w:val="00303CA7"/>
    <w:rsid w:val="003120D3"/>
    <w:rsid w:val="00320825"/>
    <w:rsid w:val="003211D0"/>
    <w:rsid w:val="00324143"/>
    <w:rsid w:val="003268A2"/>
    <w:rsid w:val="00330D4F"/>
    <w:rsid w:val="00333794"/>
    <w:rsid w:val="00334CEB"/>
    <w:rsid w:val="00342991"/>
    <w:rsid w:val="00365B50"/>
    <w:rsid w:val="003668E9"/>
    <w:rsid w:val="003737BD"/>
    <w:rsid w:val="00383664"/>
    <w:rsid w:val="00383AC7"/>
    <w:rsid w:val="003876F5"/>
    <w:rsid w:val="00390DEC"/>
    <w:rsid w:val="003916E0"/>
    <w:rsid w:val="00391869"/>
    <w:rsid w:val="003952C3"/>
    <w:rsid w:val="0039668D"/>
    <w:rsid w:val="003978D2"/>
    <w:rsid w:val="003A1D67"/>
    <w:rsid w:val="003A76F8"/>
    <w:rsid w:val="003B0A8F"/>
    <w:rsid w:val="003B0EBB"/>
    <w:rsid w:val="003B1EE7"/>
    <w:rsid w:val="003C155A"/>
    <w:rsid w:val="003C27C2"/>
    <w:rsid w:val="003C3F87"/>
    <w:rsid w:val="003D6179"/>
    <w:rsid w:val="003E2DB8"/>
    <w:rsid w:val="003E4611"/>
    <w:rsid w:val="003E4DE3"/>
    <w:rsid w:val="003E7FBD"/>
    <w:rsid w:val="003F73EF"/>
    <w:rsid w:val="00401D43"/>
    <w:rsid w:val="00406CB0"/>
    <w:rsid w:val="00406D35"/>
    <w:rsid w:val="0041255B"/>
    <w:rsid w:val="004125EE"/>
    <w:rsid w:val="00417E4C"/>
    <w:rsid w:val="004230B8"/>
    <w:rsid w:val="0042375E"/>
    <w:rsid w:val="004318AB"/>
    <w:rsid w:val="00431D5D"/>
    <w:rsid w:val="004332E8"/>
    <w:rsid w:val="0043519B"/>
    <w:rsid w:val="00451888"/>
    <w:rsid w:val="0045229F"/>
    <w:rsid w:val="00456658"/>
    <w:rsid w:val="00457F2D"/>
    <w:rsid w:val="00462248"/>
    <w:rsid w:val="00465AA0"/>
    <w:rsid w:val="00472D8F"/>
    <w:rsid w:val="0047565D"/>
    <w:rsid w:val="00476AA5"/>
    <w:rsid w:val="004846B9"/>
    <w:rsid w:val="00495C7D"/>
    <w:rsid w:val="004B17A9"/>
    <w:rsid w:val="004B3586"/>
    <w:rsid w:val="004B4BA0"/>
    <w:rsid w:val="004B55BF"/>
    <w:rsid w:val="004B5816"/>
    <w:rsid w:val="004C22CB"/>
    <w:rsid w:val="004C2636"/>
    <w:rsid w:val="004D4182"/>
    <w:rsid w:val="004D7B3B"/>
    <w:rsid w:val="004E4678"/>
    <w:rsid w:val="004E531D"/>
    <w:rsid w:val="004F1D2A"/>
    <w:rsid w:val="00503920"/>
    <w:rsid w:val="00506ED2"/>
    <w:rsid w:val="00530F8E"/>
    <w:rsid w:val="00531777"/>
    <w:rsid w:val="00536223"/>
    <w:rsid w:val="005420DB"/>
    <w:rsid w:val="005506B7"/>
    <w:rsid w:val="00552712"/>
    <w:rsid w:val="00553932"/>
    <w:rsid w:val="005541F8"/>
    <w:rsid w:val="00556118"/>
    <w:rsid w:val="00556852"/>
    <w:rsid w:val="005628BB"/>
    <w:rsid w:val="005629E0"/>
    <w:rsid w:val="00563293"/>
    <w:rsid w:val="00564B1C"/>
    <w:rsid w:val="00566C71"/>
    <w:rsid w:val="00566DF9"/>
    <w:rsid w:val="005708E9"/>
    <w:rsid w:val="00573A10"/>
    <w:rsid w:val="005826A9"/>
    <w:rsid w:val="00583B0A"/>
    <w:rsid w:val="00583FE2"/>
    <w:rsid w:val="00591809"/>
    <w:rsid w:val="00597BFB"/>
    <w:rsid w:val="005B439C"/>
    <w:rsid w:val="005B6798"/>
    <w:rsid w:val="005B7A7A"/>
    <w:rsid w:val="005C0A76"/>
    <w:rsid w:val="005C18EF"/>
    <w:rsid w:val="005C1B18"/>
    <w:rsid w:val="005D2EC7"/>
    <w:rsid w:val="005E4335"/>
    <w:rsid w:val="005E4562"/>
    <w:rsid w:val="005E7139"/>
    <w:rsid w:val="005F71A6"/>
    <w:rsid w:val="00601010"/>
    <w:rsid w:val="00603FE8"/>
    <w:rsid w:val="00606CF9"/>
    <w:rsid w:val="00623131"/>
    <w:rsid w:val="00623ABE"/>
    <w:rsid w:val="00624DCE"/>
    <w:rsid w:val="00631F43"/>
    <w:rsid w:val="00632243"/>
    <w:rsid w:val="00632D9E"/>
    <w:rsid w:val="0063664A"/>
    <w:rsid w:val="00636E8B"/>
    <w:rsid w:val="00637001"/>
    <w:rsid w:val="00643DCC"/>
    <w:rsid w:val="006441E5"/>
    <w:rsid w:val="00644700"/>
    <w:rsid w:val="00645A67"/>
    <w:rsid w:val="00650176"/>
    <w:rsid w:val="00657929"/>
    <w:rsid w:val="006600B8"/>
    <w:rsid w:val="00667885"/>
    <w:rsid w:val="00675C16"/>
    <w:rsid w:val="00676280"/>
    <w:rsid w:val="00676BA2"/>
    <w:rsid w:val="00676FC3"/>
    <w:rsid w:val="006818D8"/>
    <w:rsid w:val="00681C7D"/>
    <w:rsid w:val="0069407A"/>
    <w:rsid w:val="006954C4"/>
    <w:rsid w:val="006A1442"/>
    <w:rsid w:val="006A1866"/>
    <w:rsid w:val="006A3534"/>
    <w:rsid w:val="006B0BB6"/>
    <w:rsid w:val="006B7AC7"/>
    <w:rsid w:val="006C72ED"/>
    <w:rsid w:val="006C766A"/>
    <w:rsid w:val="006D468B"/>
    <w:rsid w:val="006E33D3"/>
    <w:rsid w:val="006E5433"/>
    <w:rsid w:val="006E7B1F"/>
    <w:rsid w:val="006F1E78"/>
    <w:rsid w:val="006F35B3"/>
    <w:rsid w:val="006F391B"/>
    <w:rsid w:val="006F6181"/>
    <w:rsid w:val="006F725F"/>
    <w:rsid w:val="006F7C54"/>
    <w:rsid w:val="00710FCF"/>
    <w:rsid w:val="007160F0"/>
    <w:rsid w:val="00736599"/>
    <w:rsid w:val="007405DB"/>
    <w:rsid w:val="007409C9"/>
    <w:rsid w:val="00744ADC"/>
    <w:rsid w:val="0075260C"/>
    <w:rsid w:val="0076151D"/>
    <w:rsid w:val="00770279"/>
    <w:rsid w:val="00771274"/>
    <w:rsid w:val="00773BEC"/>
    <w:rsid w:val="00777555"/>
    <w:rsid w:val="00780930"/>
    <w:rsid w:val="0078282D"/>
    <w:rsid w:val="00784916"/>
    <w:rsid w:val="00784C9D"/>
    <w:rsid w:val="0079309C"/>
    <w:rsid w:val="0079459E"/>
    <w:rsid w:val="007973FD"/>
    <w:rsid w:val="007A4311"/>
    <w:rsid w:val="007A5CDC"/>
    <w:rsid w:val="007A7787"/>
    <w:rsid w:val="007B3049"/>
    <w:rsid w:val="007B413F"/>
    <w:rsid w:val="007C1F84"/>
    <w:rsid w:val="007D1652"/>
    <w:rsid w:val="007D21F6"/>
    <w:rsid w:val="007D3A88"/>
    <w:rsid w:val="007D549F"/>
    <w:rsid w:val="007D5546"/>
    <w:rsid w:val="007D618F"/>
    <w:rsid w:val="007D66F7"/>
    <w:rsid w:val="007D6EAD"/>
    <w:rsid w:val="007F2829"/>
    <w:rsid w:val="007F4588"/>
    <w:rsid w:val="0080229A"/>
    <w:rsid w:val="00805367"/>
    <w:rsid w:val="0081253F"/>
    <w:rsid w:val="0081622B"/>
    <w:rsid w:val="008222B6"/>
    <w:rsid w:val="0082264E"/>
    <w:rsid w:val="00822668"/>
    <w:rsid w:val="00822C8C"/>
    <w:rsid w:val="00824D72"/>
    <w:rsid w:val="00830B11"/>
    <w:rsid w:val="008312B6"/>
    <w:rsid w:val="00834C11"/>
    <w:rsid w:val="0084060A"/>
    <w:rsid w:val="00841A74"/>
    <w:rsid w:val="00841B4A"/>
    <w:rsid w:val="00844403"/>
    <w:rsid w:val="008538FB"/>
    <w:rsid w:val="008571BE"/>
    <w:rsid w:val="00857273"/>
    <w:rsid w:val="00860112"/>
    <w:rsid w:val="008635D0"/>
    <w:rsid w:val="00872187"/>
    <w:rsid w:val="00883CA9"/>
    <w:rsid w:val="00885CC5"/>
    <w:rsid w:val="008937F8"/>
    <w:rsid w:val="00894178"/>
    <w:rsid w:val="00894307"/>
    <w:rsid w:val="008A16E6"/>
    <w:rsid w:val="008A2C82"/>
    <w:rsid w:val="008A3A2D"/>
    <w:rsid w:val="008A7093"/>
    <w:rsid w:val="008B543D"/>
    <w:rsid w:val="008B664C"/>
    <w:rsid w:val="008B77F3"/>
    <w:rsid w:val="008C2B0D"/>
    <w:rsid w:val="008D3F9A"/>
    <w:rsid w:val="008E0122"/>
    <w:rsid w:val="008E195D"/>
    <w:rsid w:val="008E2106"/>
    <w:rsid w:val="008E2237"/>
    <w:rsid w:val="008E3172"/>
    <w:rsid w:val="008E35B5"/>
    <w:rsid w:val="008E3D7D"/>
    <w:rsid w:val="008F30B9"/>
    <w:rsid w:val="008F4A6E"/>
    <w:rsid w:val="008F6912"/>
    <w:rsid w:val="0090211A"/>
    <w:rsid w:val="009042EE"/>
    <w:rsid w:val="00905284"/>
    <w:rsid w:val="00907C29"/>
    <w:rsid w:val="0091535B"/>
    <w:rsid w:val="0092111A"/>
    <w:rsid w:val="00927053"/>
    <w:rsid w:val="009305C5"/>
    <w:rsid w:val="00931389"/>
    <w:rsid w:val="00931796"/>
    <w:rsid w:val="0093184C"/>
    <w:rsid w:val="00933F04"/>
    <w:rsid w:val="009558FC"/>
    <w:rsid w:val="0096219D"/>
    <w:rsid w:val="0097297D"/>
    <w:rsid w:val="00976A90"/>
    <w:rsid w:val="0097793C"/>
    <w:rsid w:val="00981FC7"/>
    <w:rsid w:val="009849F3"/>
    <w:rsid w:val="00994F22"/>
    <w:rsid w:val="00995AA8"/>
    <w:rsid w:val="00995B67"/>
    <w:rsid w:val="00995DCB"/>
    <w:rsid w:val="009A1904"/>
    <w:rsid w:val="009A4892"/>
    <w:rsid w:val="009B35AE"/>
    <w:rsid w:val="009B6454"/>
    <w:rsid w:val="009B662A"/>
    <w:rsid w:val="009B769B"/>
    <w:rsid w:val="009C4D52"/>
    <w:rsid w:val="009C5825"/>
    <w:rsid w:val="009C5AD3"/>
    <w:rsid w:val="009D044E"/>
    <w:rsid w:val="009D5B5F"/>
    <w:rsid w:val="009E064D"/>
    <w:rsid w:val="009E20D2"/>
    <w:rsid w:val="009E25AB"/>
    <w:rsid w:val="009F22CB"/>
    <w:rsid w:val="009F5F73"/>
    <w:rsid w:val="00A0139A"/>
    <w:rsid w:val="00A125BC"/>
    <w:rsid w:val="00A14FA9"/>
    <w:rsid w:val="00A16EDA"/>
    <w:rsid w:val="00A23EF2"/>
    <w:rsid w:val="00A24A96"/>
    <w:rsid w:val="00A25D9D"/>
    <w:rsid w:val="00A2793A"/>
    <w:rsid w:val="00A305E4"/>
    <w:rsid w:val="00A32CF3"/>
    <w:rsid w:val="00A36855"/>
    <w:rsid w:val="00A4041D"/>
    <w:rsid w:val="00A41FBA"/>
    <w:rsid w:val="00A42422"/>
    <w:rsid w:val="00A43FB0"/>
    <w:rsid w:val="00A5064C"/>
    <w:rsid w:val="00A51D63"/>
    <w:rsid w:val="00A53E75"/>
    <w:rsid w:val="00A54B23"/>
    <w:rsid w:val="00A57B77"/>
    <w:rsid w:val="00A61344"/>
    <w:rsid w:val="00A64674"/>
    <w:rsid w:val="00A65AF5"/>
    <w:rsid w:val="00A66488"/>
    <w:rsid w:val="00A67EC6"/>
    <w:rsid w:val="00A7428B"/>
    <w:rsid w:val="00A753B9"/>
    <w:rsid w:val="00A81CC0"/>
    <w:rsid w:val="00A8238C"/>
    <w:rsid w:val="00A83DFE"/>
    <w:rsid w:val="00A91A32"/>
    <w:rsid w:val="00A95251"/>
    <w:rsid w:val="00A964C0"/>
    <w:rsid w:val="00A96716"/>
    <w:rsid w:val="00AB097A"/>
    <w:rsid w:val="00AB28F9"/>
    <w:rsid w:val="00AB6A5A"/>
    <w:rsid w:val="00AC05FB"/>
    <w:rsid w:val="00AC07D6"/>
    <w:rsid w:val="00AC17AF"/>
    <w:rsid w:val="00AC555B"/>
    <w:rsid w:val="00AD1A15"/>
    <w:rsid w:val="00AD5D5B"/>
    <w:rsid w:val="00AD75DC"/>
    <w:rsid w:val="00AE19EA"/>
    <w:rsid w:val="00AE353C"/>
    <w:rsid w:val="00AE558B"/>
    <w:rsid w:val="00AE5F03"/>
    <w:rsid w:val="00AF14F7"/>
    <w:rsid w:val="00AF20BB"/>
    <w:rsid w:val="00B0133F"/>
    <w:rsid w:val="00B029B1"/>
    <w:rsid w:val="00B031E0"/>
    <w:rsid w:val="00B045FB"/>
    <w:rsid w:val="00B050AD"/>
    <w:rsid w:val="00B0682F"/>
    <w:rsid w:val="00B072C0"/>
    <w:rsid w:val="00B165BA"/>
    <w:rsid w:val="00B16999"/>
    <w:rsid w:val="00B171BC"/>
    <w:rsid w:val="00B17736"/>
    <w:rsid w:val="00B20A12"/>
    <w:rsid w:val="00B24718"/>
    <w:rsid w:val="00B2636A"/>
    <w:rsid w:val="00B30659"/>
    <w:rsid w:val="00B33C13"/>
    <w:rsid w:val="00B36028"/>
    <w:rsid w:val="00B36209"/>
    <w:rsid w:val="00B3755C"/>
    <w:rsid w:val="00B3785F"/>
    <w:rsid w:val="00B471C7"/>
    <w:rsid w:val="00B61C5B"/>
    <w:rsid w:val="00B65145"/>
    <w:rsid w:val="00B67E9D"/>
    <w:rsid w:val="00B730FD"/>
    <w:rsid w:val="00B73749"/>
    <w:rsid w:val="00B7555F"/>
    <w:rsid w:val="00B84279"/>
    <w:rsid w:val="00B84B2D"/>
    <w:rsid w:val="00B85EC9"/>
    <w:rsid w:val="00B925C2"/>
    <w:rsid w:val="00B94C1D"/>
    <w:rsid w:val="00BA56E4"/>
    <w:rsid w:val="00BA5B42"/>
    <w:rsid w:val="00BB019F"/>
    <w:rsid w:val="00BB30C0"/>
    <w:rsid w:val="00BB49CC"/>
    <w:rsid w:val="00BB7B08"/>
    <w:rsid w:val="00BC0B93"/>
    <w:rsid w:val="00BC354F"/>
    <w:rsid w:val="00BC6BF6"/>
    <w:rsid w:val="00BD2841"/>
    <w:rsid w:val="00BD3126"/>
    <w:rsid w:val="00BD6FBB"/>
    <w:rsid w:val="00BE1189"/>
    <w:rsid w:val="00BE2E92"/>
    <w:rsid w:val="00BE4BD7"/>
    <w:rsid w:val="00BF33B5"/>
    <w:rsid w:val="00BF3D2C"/>
    <w:rsid w:val="00BF4546"/>
    <w:rsid w:val="00C00AAD"/>
    <w:rsid w:val="00C05142"/>
    <w:rsid w:val="00C112B8"/>
    <w:rsid w:val="00C115D6"/>
    <w:rsid w:val="00C117C5"/>
    <w:rsid w:val="00C172E8"/>
    <w:rsid w:val="00C21992"/>
    <w:rsid w:val="00C27EAD"/>
    <w:rsid w:val="00C31F7B"/>
    <w:rsid w:val="00C42EB9"/>
    <w:rsid w:val="00C453C8"/>
    <w:rsid w:val="00C46432"/>
    <w:rsid w:val="00C5060C"/>
    <w:rsid w:val="00C51276"/>
    <w:rsid w:val="00C51AAC"/>
    <w:rsid w:val="00C55681"/>
    <w:rsid w:val="00C60925"/>
    <w:rsid w:val="00C63CCB"/>
    <w:rsid w:val="00C65BD5"/>
    <w:rsid w:val="00C72948"/>
    <w:rsid w:val="00C751B2"/>
    <w:rsid w:val="00C848A8"/>
    <w:rsid w:val="00C848F7"/>
    <w:rsid w:val="00C92611"/>
    <w:rsid w:val="00C927CE"/>
    <w:rsid w:val="00CA0157"/>
    <w:rsid w:val="00CA0E90"/>
    <w:rsid w:val="00CA27BF"/>
    <w:rsid w:val="00CA3210"/>
    <w:rsid w:val="00CB1DDA"/>
    <w:rsid w:val="00CB268F"/>
    <w:rsid w:val="00CC025D"/>
    <w:rsid w:val="00CC054B"/>
    <w:rsid w:val="00CC3749"/>
    <w:rsid w:val="00CD1550"/>
    <w:rsid w:val="00CD20F4"/>
    <w:rsid w:val="00CD2C06"/>
    <w:rsid w:val="00CD4AC8"/>
    <w:rsid w:val="00CD5E6E"/>
    <w:rsid w:val="00CD6455"/>
    <w:rsid w:val="00CD6FD4"/>
    <w:rsid w:val="00CE3057"/>
    <w:rsid w:val="00CE42CB"/>
    <w:rsid w:val="00CE799A"/>
    <w:rsid w:val="00CF17ED"/>
    <w:rsid w:val="00CF62D9"/>
    <w:rsid w:val="00CF6AF5"/>
    <w:rsid w:val="00CF7A5B"/>
    <w:rsid w:val="00D129FB"/>
    <w:rsid w:val="00D1482B"/>
    <w:rsid w:val="00D218DD"/>
    <w:rsid w:val="00D32E09"/>
    <w:rsid w:val="00D33803"/>
    <w:rsid w:val="00D35425"/>
    <w:rsid w:val="00D4215D"/>
    <w:rsid w:val="00D51D70"/>
    <w:rsid w:val="00D541E1"/>
    <w:rsid w:val="00D566A6"/>
    <w:rsid w:val="00D61655"/>
    <w:rsid w:val="00D63B9C"/>
    <w:rsid w:val="00D67D88"/>
    <w:rsid w:val="00D74911"/>
    <w:rsid w:val="00D7492C"/>
    <w:rsid w:val="00D80855"/>
    <w:rsid w:val="00D87348"/>
    <w:rsid w:val="00D92663"/>
    <w:rsid w:val="00D92B67"/>
    <w:rsid w:val="00D95AB0"/>
    <w:rsid w:val="00D962F0"/>
    <w:rsid w:val="00DA173B"/>
    <w:rsid w:val="00DA434E"/>
    <w:rsid w:val="00DA4A59"/>
    <w:rsid w:val="00DB0530"/>
    <w:rsid w:val="00DB2601"/>
    <w:rsid w:val="00DB5620"/>
    <w:rsid w:val="00DC032C"/>
    <w:rsid w:val="00DC0FAE"/>
    <w:rsid w:val="00DC20B6"/>
    <w:rsid w:val="00DC277B"/>
    <w:rsid w:val="00DC491A"/>
    <w:rsid w:val="00DD462F"/>
    <w:rsid w:val="00DD5525"/>
    <w:rsid w:val="00DE00EF"/>
    <w:rsid w:val="00DE0BEA"/>
    <w:rsid w:val="00DE4C7D"/>
    <w:rsid w:val="00DE5A4C"/>
    <w:rsid w:val="00DE653A"/>
    <w:rsid w:val="00DF1206"/>
    <w:rsid w:val="00DF1A43"/>
    <w:rsid w:val="00DF28E2"/>
    <w:rsid w:val="00DF2941"/>
    <w:rsid w:val="00DF3108"/>
    <w:rsid w:val="00DF6855"/>
    <w:rsid w:val="00DF73AB"/>
    <w:rsid w:val="00E01FB6"/>
    <w:rsid w:val="00E028F5"/>
    <w:rsid w:val="00E0294E"/>
    <w:rsid w:val="00E14A2F"/>
    <w:rsid w:val="00E16B7C"/>
    <w:rsid w:val="00E2663B"/>
    <w:rsid w:val="00E31982"/>
    <w:rsid w:val="00E35476"/>
    <w:rsid w:val="00E42CEB"/>
    <w:rsid w:val="00E43E18"/>
    <w:rsid w:val="00E50F5C"/>
    <w:rsid w:val="00E51117"/>
    <w:rsid w:val="00E56F6C"/>
    <w:rsid w:val="00E615FB"/>
    <w:rsid w:val="00E62F80"/>
    <w:rsid w:val="00E8438F"/>
    <w:rsid w:val="00E86117"/>
    <w:rsid w:val="00E87C05"/>
    <w:rsid w:val="00E9282A"/>
    <w:rsid w:val="00E94527"/>
    <w:rsid w:val="00E95A95"/>
    <w:rsid w:val="00E97EA6"/>
    <w:rsid w:val="00EA39D5"/>
    <w:rsid w:val="00EB1B63"/>
    <w:rsid w:val="00EB44D5"/>
    <w:rsid w:val="00EC1E91"/>
    <w:rsid w:val="00EC3838"/>
    <w:rsid w:val="00EC5955"/>
    <w:rsid w:val="00EC6A2E"/>
    <w:rsid w:val="00EC73F1"/>
    <w:rsid w:val="00ED05A9"/>
    <w:rsid w:val="00ED2BD7"/>
    <w:rsid w:val="00ED53BB"/>
    <w:rsid w:val="00ED5E1B"/>
    <w:rsid w:val="00ED6A83"/>
    <w:rsid w:val="00EE02DC"/>
    <w:rsid w:val="00EE1F51"/>
    <w:rsid w:val="00EE1F59"/>
    <w:rsid w:val="00EE3BE6"/>
    <w:rsid w:val="00EE4F9C"/>
    <w:rsid w:val="00EF3305"/>
    <w:rsid w:val="00F11CA9"/>
    <w:rsid w:val="00F1473F"/>
    <w:rsid w:val="00F22C84"/>
    <w:rsid w:val="00F27971"/>
    <w:rsid w:val="00F309C3"/>
    <w:rsid w:val="00F32CA1"/>
    <w:rsid w:val="00F34D52"/>
    <w:rsid w:val="00F43B57"/>
    <w:rsid w:val="00F47B81"/>
    <w:rsid w:val="00F5103C"/>
    <w:rsid w:val="00F52418"/>
    <w:rsid w:val="00F617F6"/>
    <w:rsid w:val="00F72868"/>
    <w:rsid w:val="00F73AF5"/>
    <w:rsid w:val="00F829EC"/>
    <w:rsid w:val="00F93013"/>
    <w:rsid w:val="00F93827"/>
    <w:rsid w:val="00F94A01"/>
    <w:rsid w:val="00FA52BA"/>
    <w:rsid w:val="00FB08CF"/>
    <w:rsid w:val="00FB4680"/>
    <w:rsid w:val="00FC1CE4"/>
    <w:rsid w:val="00FD08E1"/>
    <w:rsid w:val="00FD15BC"/>
    <w:rsid w:val="00FD1B00"/>
    <w:rsid w:val="00FD2C16"/>
    <w:rsid w:val="00FF220D"/>
    <w:rsid w:val="00FF30B7"/>
    <w:rsid w:val="03C87E35"/>
    <w:rsid w:val="0D5F1EDB"/>
    <w:rsid w:val="0F195B14"/>
    <w:rsid w:val="1EDA5344"/>
    <w:rsid w:val="4C937ADB"/>
    <w:rsid w:val="5932369E"/>
    <w:rsid w:val="5B070137"/>
    <w:rsid w:val="5B0C41F8"/>
    <w:rsid w:val="5E7F7ED1"/>
    <w:rsid w:val="75B77BDC"/>
    <w:rsid w:val="7A6354C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1"/>
    <w:pPr>
      <w:autoSpaceDE w:val="0"/>
      <w:autoSpaceDN w:val="0"/>
      <w:adjustRightInd w:val="0"/>
      <w:snapToGrid w:val="0"/>
      <w:spacing w:line="360" w:lineRule="auto"/>
      <w:jc w:val="center"/>
      <w:outlineLvl w:val="0"/>
    </w:pPr>
    <w:rPr>
      <w:rFonts w:ascii="方正小标宋简体" w:hAnsi="Times New Roman" w:eastAsia="方正小标宋简体" w:cs="PMingLiU"/>
      <w:kern w:val="0"/>
      <w:sz w:val="44"/>
      <w:szCs w:val="44"/>
    </w:rPr>
  </w:style>
  <w:style w:type="paragraph" w:styleId="3">
    <w:name w:val="heading 2"/>
    <w:basedOn w:val="1"/>
    <w:next w:val="1"/>
    <w:link w:val="23"/>
    <w:qFormat/>
    <w:uiPriority w:val="1"/>
    <w:pPr>
      <w:autoSpaceDE w:val="0"/>
      <w:autoSpaceDN w:val="0"/>
      <w:adjustRightInd w:val="0"/>
      <w:snapToGrid w:val="0"/>
      <w:spacing w:line="360" w:lineRule="auto"/>
      <w:ind w:firstLine="640" w:firstLineChars="200"/>
      <w:jc w:val="left"/>
      <w:outlineLvl w:val="1"/>
    </w:pPr>
    <w:rPr>
      <w:rFonts w:ascii="黑体" w:hAnsi="黑体" w:eastAsia="黑体" w:cs="PMingLiU"/>
      <w:kern w:val="0"/>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semiHidden/>
    <w:unhideWhenUsed/>
    <w:qFormat/>
    <w:uiPriority w:val="99"/>
    <w:pPr>
      <w:jc w:val="left"/>
    </w:pPr>
  </w:style>
  <w:style w:type="paragraph" w:styleId="5">
    <w:name w:val="Date"/>
    <w:basedOn w:val="1"/>
    <w:next w:val="1"/>
    <w:link w:val="17"/>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9"/>
    <w:semiHidden/>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日期 字符"/>
    <w:basedOn w:val="12"/>
    <w:link w:val="5"/>
    <w:semiHidden/>
    <w:qFormat/>
    <w:uiPriority w:val="99"/>
  </w:style>
  <w:style w:type="character" w:customStyle="1" w:styleId="18">
    <w:name w:val="批注文字 字符"/>
    <w:basedOn w:val="12"/>
    <w:link w:val="4"/>
    <w:semiHidden/>
    <w:qFormat/>
    <w:uiPriority w:val="99"/>
  </w:style>
  <w:style w:type="character" w:customStyle="1" w:styleId="19">
    <w:name w:val="批注主题 字符"/>
    <w:basedOn w:val="18"/>
    <w:link w:val="9"/>
    <w:semiHidden/>
    <w:qFormat/>
    <w:uiPriority w:val="99"/>
    <w:rPr>
      <w:b/>
      <w:bCs/>
    </w:rPr>
  </w:style>
  <w:style w:type="character" w:customStyle="1" w:styleId="20">
    <w:name w:val="批注框文本 字符"/>
    <w:basedOn w:val="12"/>
    <w:link w:val="6"/>
    <w:semiHidden/>
    <w:qFormat/>
    <w:uiPriority w:val="99"/>
    <w:rPr>
      <w:sz w:val="18"/>
      <w:szCs w:val="18"/>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
    <w:name w:val="标题 1 字符"/>
    <w:basedOn w:val="12"/>
    <w:link w:val="2"/>
    <w:qFormat/>
    <w:uiPriority w:val="1"/>
    <w:rPr>
      <w:rFonts w:ascii="方正小标宋简体" w:hAnsi="Times New Roman" w:eastAsia="方正小标宋简体" w:cs="PMingLiU"/>
      <w:kern w:val="0"/>
      <w:sz w:val="44"/>
      <w:szCs w:val="44"/>
    </w:rPr>
  </w:style>
  <w:style w:type="character" w:customStyle="1" w:styleId="23">
    <w:name w:val="标题 2 字符"/>
    <w:basedOn w:val="12"/>
    <w:link w:val="3"/>
    <w:qFormat/>
    <w:uiPriority w:val="1"/>
    <w:rPr>
      <w:rFonts w:ascii="黑体" w:hAnsi="黑体" w:eastAsia="黑体" w:cs="PMingLiU"/>
      <w:kern w:val="0"/>
      <w:sz w:val="32"/>
      <w:szCs w:val="32"/>
    </w:rPr>
  </w:style>
  <w:style w:type="character" w:customStyle="1" w:styleId="24">
    <w:name w:val="页脚 字符1"/>
    <w:unhideWhenUsed/>
    <w:qFormat/>
    <w:locked/>
    <w:uiPriority w:val="99"/>
    <w:rPr>
      <w:rFonts w:ascii="PMingLiU" w:eastAsia="PMingLiU"/>
      <w:sz w:val="18"/>
    </w:rPr>
  </w:style>
  <w:style w:type="character" w:customStyle="1" w:styleId="25">
    <w:name w:val="页眉 字符1"/>
    <w:unhideWhenUsed/>
    <w:qFormat/>
    <w:locked/>
    <w:uiPriority w:val="99"/>
    <w:rPr>
      <w:rFonts w:ascii="PMingLiU" w:eastAsia="PMingLiU"/>
      <w:sz w:val="18"/>
    </w:rPr>
  </w:style>
  <w:style w:type="paragraph" w:customStyle="1" w:styleId="26">
    <w:name w:val="修订2"/>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0A151-B786-4CCA-8706-D493C60E6AA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1133</Words>
  <Characters>6463</Characters>
  <Lines>53</Lines>
  <Paragraphs>15</Paragraphs>
  <TotalTime>10</TotalTime>
  <ScaleCrop>false</ScaleCrop>
  <LinksUpToDate>false</LinksUpToDate>
  <CharactersWithSpaces>7581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2023-03-30T05:56:00Z</dcterms:created>
  <dc:creator>王志恒</dc:creator>
  <cp:lastModifiedBy>计量啊计量</cp:lastModifiedBy>
  <cp:lastPrinted>2023-04-12T09:59:00Z</cp:lastPrinted>
  <dcterms:modified xsi:type="dcterms:W3CDTF">2023-07-25T02:57:50Z</dcterms:modified>
  <cp:revision>244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E11FF5FF06234F489EFA6005F8DD1FE2_12</vt:lpwstr>
  </property>
</Properties>
</file>