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D5602">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枣庄市</w:t>
      </w:r>
      <w:r>
        <w:rPr>
          <w:rFonts w:hint="eastAsia" w:ascii="宋体" w:hAnsi="宋体" w:eastAsia="宋体" w:cs="宋体"/>
          <w:b w:val="0"/>
          <w:bCs w:val="0"/>
          <w:snapToGrid/>
          <w:color w:val="000000"/>
          <w:kern w:val="2"/>
          <w:sz w:val="28"/>
          <w:szCs w:val="28"/>
          <w:lang w:val="en-US" w:eastAsia="zh-CN"/>
        </w:rPr>
        <w:t>书包</w:t>
      </w:r>
      <w:r>
        <w:rPr>
          <w:rFonts w:hint="eastAsia" w:ascii="宋体" w:hAnsi="宋体" w:eastAsia="宋体" w:cs="宋体"/>
          <w:b w:val="0"/>
          <w:bCs w:val="0"/>
          <w:snapToGrid/>
          <w:color w:val="000000"/>
          <w:kern w:val="2"/>
          <w:sz w:val="28"/>
          <w:szCs w:val="28"/>
          <w:lang w:eastAsia="zh-CN"/>
        </w:rPr>
        <w:t>产品质量监督抽查实施细则</w:t>
      </w:r>
    </w:p>
    <w:p w14:paraId="46D456C5">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1 抽样</w:t>
      </w:r>
    </w:p>
    <w:p w14:paraId="426F8726">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1.1 抽样方法</w:t>
      </w:r>
    </w:p>
    <w:p w14:paraId="5646F4B5">
      <w:pPr>
        <w:widowControl w:val="0"/>
        <w:kinsoku/>
        <w:autoSpaceDE/>
        <w:autoSpaceDN/>
        <w:adjustRightInd/>
        <w:snapToGrid w:val="0"/>
        <w:spacing w:line="440" w:lineRule="exact"/>
        <w:ind w:firstLine="280" w:firstLineChars="1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以随机抽样的方式在被抽样生产者、销售者的待销产品中抽取。</w:t>
      </w:r>
    </w:p>
    <w:p w14:paraId="6C6EF2DF">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1.2 抽样基数</w:t>
      </w:r>
    </w:p>
    <w:p w14:paraId="46EFE262">
      <w:pPr>
        <w:widowControl w:val="0"/>
        <w:kinsoku/>
        <w:autoSpaceDE/>
        <w:autoSpaceDN/>
        <w:adjustRightInd/>
        <w:snapToGrid w:val="0"/>
        <w:spacing w:line="440" w:lineRule="exact"/>
        <w:ind w:firstLine="280" w:firstLineChars="1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抽查样品基数满足抽样数量即可。</w:t>
      </w:r>
    </w:p>
    <w:p w14:paraId="4D9DA44A">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1.3 抽样数量</w:t>
      </w:r>
    </w:p>
    <w:p w14:paraId="4BC5BBC2">
      <w:pPr>
        <w:widowControl w:val="0"/>
        <w:kinsoku/>
        <w:autoSpaceDE/>
        <w:autoSpaceDN/>
        <w:adjustRightInd/>
        <w:snapToGrid w:val="0"/>
        <w:spacing w:line="440" w:lineRule="exact"/>
        <w:ind w:firstLine="280" w:firstLineChars="1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每批次产品原则上抽取样品 2 件，其中 1 件作为检验样品，1 件作为备用样品。</w:t>
      </w:r>
    </w:p>
    <w:p w14:paraId="7A66A380">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2 检验项目及检测方法</w:t>
      </w:r>
    </w:p>
    <w:p w14:paraId="105AE968">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表</w:t>
      </w:r>
      <w:r>
        <w:rPr>
          <w:rFonts w:hint="eastAsia" w:ascii="宋体" w:hAnsi="宋体" w:eastAsia="宋体" w:cs="宋体"/>
          <w:b w:val="0"/>
          <w:bCs w:val="0"/>
          <w:snapToGrid/>
          <w:color w:val="000000"/>
          <w:kern w:val="2"/>
          <w:sz w:val="28"/>
          <w:szCs w:val="28"/>
          <w:lang w:val="en-US" w:eastAsia="zh-CN"/>
        </w:rPr>
        <w:t>2-1学生书袋</w:t>
      </w:r>
      <w:r>
        <w:rPr>
          <w:rFonts w:hint="eastAsia" w:ascii="宋体" w:hAnsi="宋体" w:eastAsia="宋体" w:cs="宋体"/>
          <w:b w:val="0"/>
          <w:bCs w:val="0"/>
          <w:snapToGrid/>
          <w:color w:val="000000"/>
          <w:kern w:val="2"/>
          <w:sz w:val="28"/>
          <w:szCs w:val="28"/>
          <w:lang w:eastAsia="zh-CN"/>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477"/>
        <w:gridCol w:w="3258"/>
      </w:tblGrid>
      <w:tr w14:paraId="00966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65ED9BA9">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序号</w:t>
            </w:r>
          </w:p>
        </w:tc>
        <w:tc>
          <w:tcPr>
            <w:tcW w:w="3477" w:type="dxa"/>
            <w:vAlign w:val="center"/>
          </w:tcPr>
          <w:p w14:paraId="6BEA69BF">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检验项目</w:t>
            </w:r>
          </w:p>
        </w:tc>
        <w:tc>
          <w:tcPr>
            <w:tcW w:w="3258" w:type="dxa"/>
            <w:vAlign w:val="center"/>
          </w:tcPr>
          <w:p w14:paraId="1FC9579D">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检验方法</w:t>
            </w:r>
          </w:p>
        </w:tc>
      </w:tr>
      <w:tr w14:paraId="03F1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139FCFCB">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1</w:t>
            </w:r>
          </w:p>
        </w:tc>
        <w:tc>
          <w:tcPr>
            <w:tcW w:w="3477" w:type="dxa"/>
            <w:vAlign w:val="center"/>
          </w:tcPr>
          <w:p w14:paraId="3E562224">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摆动试验</w:t>
            </w:r>
          </w:p>
        </w:tc>
        <w:tc>
          <w:tcPr>
            <w:tcW w:w="3258" w:type="dxa"/>
            <w:vAlign w:val="center"/>
          </w:tcPr>
          <w:p w14:paraId="4526489C">
            <w:pPr>
              <w:widowControl w:val="0"/>
              <w:kinsoku/>
              <w:autoSpaceDE/>
              <w:autoSpaceDN/>
              <w:adjustRightInd/>
              <w:snapToGrid w:val="0"/>
              <w:spacing w:line="440" w:lineRule="exact"/>
              <w:jc w:val="center"/>
              <w:textAlignment w:val="auto"/>
              <w:rPr>
                <w:rFonts w:hint="default"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eastAsia="zh-CN"/>
              </w:rPr>
              <w:t xml:space="preserve">QB/T </w:t>
            </w:r>
            <w:r>
              <w:rPr>
                <w:rFonts w:hint="eastAsia" w:ascii="宋体" w:hAnsi="宋体" w:eastAsia="宋体" w:cs="宋体"/>
                <w:b w:val="0"/>
                <w:bCs w:val="0"/>
                <w:snapToGrid/>
                <w:color w:val="000000"/>
                <w:kern w:val="2"/>
                <w:sz w:val="28"/>
                <w:szCs w:val="28"/>
                <w:lang w:val="en-US" w:eastAsia="zh-CN"/>
              </w:rPr>
              <w:t>2858</w:t>
            </w:r>
          </w:p>
        </w:tc>
      </w:tr>
      <w:tr w14:paraId="60C4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6B630436">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2</w:t>
            </w:r>
          </w:p>
        </w:tc>
        <w:tc>
          <w:tcPr>
            <w:tcW w:w="3477" w:type="dxa"/>
            <w:vAlign w:val="center"/>
          </w:tcPr>
          <w:p w14:paraId="06063CC8">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静止、跌落试验</w:t>
            </w:r>
          </w:p>
        </w:tc>
        <w:tc>
          <w:tcPr>
            <w:tcW w:w="3258" w:type="dxa"/>
            <w:vAlign w:val="center"/>
          </w:tcPr>
          <w:p w14:paraId="4B01E227">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eastAsia="zh-CN"/>
              </w:rPr>
              <w:t xml:space="preserve">QB/T </w:t>
            </w:r>
            <w:r>
              <w:rPr>
                <w:rFonts w:hint="eastAsia" w:ascii="宋体" w:hAnsi="宋体" w:eastAsia="宋体" w:cs="宋体"/>
                <w:b w:val="0"/>
                <w:bCs w:val="0"/>
                <w:snapToGrid/>
                <w:color w:val="000000"/>
                <w:kern w:val="2"/>
                <w:sz w:val="28"/>
                <w:szCs w:val="28"/>
                <w:lang w:val="en-US" w:eastAsia="zh-CN"/>
              </w:rPr>
              <w:t>2858</w:t>
            </w:r>
          </w:p>
        </w:tc>
      </w:tr>
      <w:tr w14:paraId="7C1D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3F37ACB6">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3</w:t>
            </w:r>
          </w:p>
        </w:tc>
        <w:tc>
          <w:tcPr>
            <w:tcW w:w="3477" w:type="dxa"/>
            <w:vAlign w:val="center"/>
          </w:tcPr>
          <w:p w14:paraId="2049B38A">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缝合强度</w:t>
            </w:r>
          </w:p>
        </w:tc>
        <w:tc>
          <w:tcPr>
            <w:tcW w:w="3258" w:type="dxa"/>
            <w:vAlign w:val="center"/>
          </w:tcPr>
          <w:p w14:paraId="638CBFFE">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eastAsia="zh-CN"/>
              </w:rPr>
              <w:t xml:space="preserve">QB/T </w:t>
            </w:r>
            <w:r>
              <w:rPr>
                <w:rFonts w:hint="eastAsia" w:ascii="宋体" w:hAnsi="宋体" w:eastAsia="宋体" w:cs="宋体"/>
                <w:b w:val="0"/>
                <w:bCs w:val="0"/>
                <w:snapToGrid/>
                <w:color w:val="000000"/>
                <w:kern w:val="2"/>
                <w:sz w:val="28"/>
                <w:szCs w:val="28"/>
                <w:lang w:val="en-US" w:eastAsia="zh-CN"/>
              </w:rPr>
              <w:t>2858</w:t>
            </w:r>
          </w:p>
        </w:tc>
      </w:tr>
      <w:tr w14:paraId="6751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6346741C">
            <w:pPr>
              <w:widowControl w:val="0"/>
              <w:kinsoku/>
              <w:autoSpaceDE/>
              <w:autoSpaceDN/>
              <w:adjustRightInd/>
              <w:snapToGrid w:val="0"/>
              <w:spacing w:line="440" w:lineRule="exact"/>
              <w:jc w:val="center"/>
              <w:textAlignment w:val="auto"/>
              <w:rPr>
                <w:rFonts w:hint="default"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4</w:t>
            </w:r>
          </w:p>
        </w:tc>
        <w:tc>
          <w:tcPr>
            <w:tcW w:w="3477" w:type="dxa"/>
            <w:shd w:val="clear" w:color="auto" w:fill="auto"/>
            <w:vAlign w:val="center"/>
          </w:tcPr>
          <w:p w14:paraId="01C5A046">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bidi="ar-SA"/>
              </w:rPr>
            </w:pPr>
            <w:r>
              <w:rPr>
                <w:rFonts w:hint="eastAsia" w:ascii="宋体" w:hAnsi="宋体" w:eastAsia="宋体" w:cs="宋体"/>
                <w:b w:val="0"/>
                <w:bCs w:val="0"/>
                <w:snapToGrid/>
                <w:color w:val="000000"/>
                <w:kern w:val="2"/>
                <w:sz w:val="28"/>
                <w:szCs w:val="28"/>
                <w:lang w:val="en-US" w:eastAsia="zh-CN"/>
              </w:rPr>
              <w:t>摩擦色牢度</w:t>
            </w:r>
          </w:p>
        </w:tc>
        <w:tc>
          <w:tcPr>
            <w:tcW w:w="3258" w:type="dxa"/>
            <w:shd w:val="clear" w:color="auto" w:fill="auto"/>
            <w:vAlign w:val="center"/>
          </w:tcPr>
          <w:p w14:paraId="29698BF8">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bidi="ar-SA"/>
              </w:rPr>
            </w:pPr>
            <w:r>
              <w:rPr>
                <w:rFonts w:hint="eastAsia" w:ascii="宋体" w:hAnsi="宋体" w:eastAsia="宋体" w:cs="宋体"/>
                <w:b w:val="0"/>
                <w:bCs w:val="0"/>
                <w:snapToGrid/>
                <w:color w:val="000000"/>
                <w:kern w:val="2"/>
                <w:sz w:val="28"/>
                <w:szCs w:val="28"/>
                <w:lang w:val="en-US" w:eastAsia="zh-CN"/>
              </w:rPr>
              <w:t>GB/T 3920</w:t>
            </w:r>
          </w:p>
        </w:tc>
      </w:tr>
      <w:tr w14:paraId="38BA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066AF05E">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5</w:t>
            </w:r>
          </w:p>
        </w:tc>
        <w:tc>
          <w:tcPr>
            <w:tcW w:w="3477" w:type="dxa"/>
            <w:vAlign w:val="center"/>
          </w:tcPr>
          <w:p w14:paraId="28474F2B">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配件</w:t>
            </w:r>
          </w:p>
        </w:tc>
        <w:tc>
          <w:tcPr>
            <w:tcW w:w="3258" w:type="dxa"/>
            <w:vAlign w:val="center"/>
          </w:tcPr>
          <w:p w14:paraId="6936A37B">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eastAsia="zh-CN"/>
              </w:rPr>
              <w:t xml:space="preserve">QB/T </w:t>
            </w:r>
            <w:r>
              <w:rPr>
                <w:rFonts w:hint="eastAsia" w:ascii="宋体" w:hAnsi="宋体" w:eastAsia="宋体" w:cs="宋体"/>
                <w:b w:val="0"/>
                <w:bCs w:val="0"/>
                <w:snapToGrid/>
                <w:color w:val="000000"/>
                <w:kern w:val="2"/>
                <w:sz w:val="28"/>
                <w:szCs w:val="28"/>
                <w:lang w:val="en-US" w:eastAsia="zh-CN"/>
              </w:rPr>
              <w:t>2858</w:t>
            </w:r>
          </w:p>
        </w:tc>
      </w:tr>
      <w:tr w14:paraId="62F5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58019410">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6</w:t>
            </w:r>
          </w:p>
        </w:tc>
        <w:tc>
          <w:tcPr>
            <w:tcW w:w="3477" w:type="dxa"/>
            <w:vAlign w:val="center"/>
          </w:tcPr>
          <w:p w14:paraId="0DD50F0C">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游离甲醛</w:t>
            </w:r>
          </w:p>
        </w:tc>
        <w:tc>
          <w:tcPr>
            <w:tcW w:w="3258" w:type="dxa"/>
            <w:vAlign w:val="center"/>
          </w:tcPr>
          <w:p w14:paraId="54FADA2C">
            <w:pPr>
              <w:widowControl w:val="0"/>
              <w:kinsoku/>
              <w:autoSpaceDE/>
              <w:autoSpaceDN/>
              <w:adjustRightInd/>
              <w:snapToGrid w:val="0"/>
              <w:spacing w:line="440" w:lineRule="exact"/>
              <w:jc w:val="center"/>
              <w:textAlignment w:val="auto"/>
              <w:rPr>
                <w:rFonts w:hint="default"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GB/T 2912.1</w:t>
            </w:r>
          </w:p>
        </w:tc>
      </w:tr>
    </w:tbl>
    <w:p w14:paraId="04E5E43B">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p>
    <w:p w14:paraId="62BC1C32">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表</w:t>
      </w:r>
      <w:r>
        <w:rPr>
          <w:rFonts w:hint="eastAsia" w:ascii="宋体" w:hAnsi="宋体" w:eastAsia="宋体" w:cs="宋体"/>
          <w:b w:val="0"/>
          <w:bCs w:val="0"/>
          <w:snapToGrid/>
          <w:color w:val="000000"/>
          <w:kern w:val="2"/>
          <w:sz w:val="28"/>
          <w:szCs w:val="28"/>
          <w:lang w:val="en-US" w:eastAsia="zh-CN"/>
        </w:rPr>
        <w:t>2-2学生书包（背提包）</w:t>
      </w:r>
      <w:r>
        <w:rPr>
          <w:rFonts w:hint="eastAsia" w:ascii="宋体" w:hAnsi="宋体" w:eastAsia="宋体" w:cs="宋体"/>
          <w:b w:val="0"/>
          <w:bCs w:val="0"/>
          <w:snapToGrid/>
          <w:color w:val="000000"/>
          <w:kern w:val="2"/>
          <w:sz w:val="28"/>
          <w:szCs w:val="28"/>
          <w:lang w:eastAsia="zh-CN"/>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477"/>
        <w:gridCol w:w="3258"/>
      </w:tblGrid>
      <w:tr w14:paraId="72C5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3987897">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序号</w:t>
            </w:r>
          </w:p>
        </w:tc>
        <w:tc>
          <w:tcPr>
            <w:tcW w:w="3477" w:type="dxa"/>
            <w:vAlign w:val="center"/>
          </w:tcPr>
          <w:p w14:paraId="04892E8A">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检验项目</w:t>
            </w:r>
          </w:p>
        </w:tc>
        <w:tc>
          <w:tcPr>
            <w:tcW w:w="3258" w:type="dxa"/>
            <w:vAlign w:val="center"/>
          </w:tcPr>
          <w:p w14:paraId="78B52A5C">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检验方法</w:t>
            </w:r>
          </w:p>
        </w:tc>
      </w:tr>
      <w:tr w14:paraId="2874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09453A60">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1</w:t>
            </w:r>
          </w:p>
        </w:tc>
        <w:tc>
          <w:tcPr>
            <w:tcW w:w="3477" w:type="dxa"/>
            <w:vAlign w:val="center"/>
          </w:tcPr>
          <w:p w14:paraId="4F93C753">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外观</w:t>
            </w:r>
          </w:p>
        </w:tc>
        <w:tc>
          <w:tcPr>
            <w:tcW w:w="3258" w:type="dxa"/>
            <w:vAlign w:val="center"/>
          </w:tcPr>
          <w:p w14:paraId="052B830F">
            <w:pPr>
              <w:widowControl w:val="0"/>
              <w:kinsoku/>
              <w:autoSpaceDE/>
              <w:autoSpaceDN/>
              <w:adjustRightInd/>
              <w:snapToGrid w:val="0"/>
              <w:spacing w:line="440" w:lineRule="exact"/>
              <w:jc w:val="center"/>
              <w:textAlignment w:val="auto"/>
              <w:rPr>
                <w:rFonts w:hint="default" w:ascii="宋体" w:hAnsi="宋体" w:eastAsia="宋体" w:cs="宋体"/>
                <w:b w:val="0"/>
                <w:bCs w:val="0"/>
                <w:snapToGrid/>
                <w:color w:val="000000"/>
                <w:kern w:val="2"/>
                <w:sz w:val="28"/>
                <w:szCs w:val="28"/>
                <w:lang w:val="en-US" w:eastAsia="zh-CN"/>
              </w:rPr>
            </w:pPr>
            <w:r>
              <w:rPr>
                <w:rFonts w:hint="default" w:ascii="宋体" w:hAnsi="宋体" w:eastAsia="宋体" w:cs="宋体"/>
                <w:b w:val="0"/>
                <w:bCs w:val="0"/>
                <w:snapToGrid/>
                <w:color w:val="000000"/>
                <w:kern w:val="2"/>
                <w:sz w:val="28"/>
                <w:szCs w:val="28"/>
                <w:lang w:val="en-US" w:eastAsia="zh-CN"/>
              </w:rPr>
              <w:t>QB/T 1333</w:t>
            </w:r>
          </w:p>
        </w:tc>
      </w:tr>
      <w:tr w14:paraId="7438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6265EAC1">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2</w:t>
            </w:r>
          </w:p>
        </w:tc>
        <w:tc>
          <w:tcPr>
            <w:tcW w:w="3477" w:type="dxa"/>
            <w:vAlign w:val="center"/>
          </w:tcPr>
          <w:p w14:paraId="6E815FE8">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ascii="sans-serif" w:hAnsi="sans-serif" w:eastAsia="sans-serif" w:cs="sans-serif"/>
                <w:i w:val="0"/>
                <w:iCs w:val="0"/>
                <w:caps w:val="0"/>
                <w:spacing w:val="0"/>
                <w:sz w:val="28"/>
                <w:szCs w:val="28"/>
                <w:shd w:val="clear" w:fill="FFFFFF"/>
              </w:rPr>
              <w:t>包锁耐用性</w:t>
            </w:r>
          </w:p>
        </w:tc>
        <w:tc>
          <w:tcPr>
            <w:tcW w:w="3258" w:type="dxa"/>
            <w:vAlign w:val="center"/>
          </w:tcPr>
          <w:p w14:paraId="20CE4808">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default" w:ascii="宋体" w:hAnsi="宋体" w:eastAsia="宋体" w:cs="宋体"/>
                <w:b w:val="0"/>
                <w:bCs w:val="0"/>
                <w:snapToGrid/>
                <w:color w:val="000000"/>
                <w:kern w:val="2"/>
                <w:sz w:val="28"/>
                <w:szCs w:val="28"/>
                <w:lang w:val="en-US" w:eastAsia="zh-CN"/>
              </w:rPr>
              <w:t>QB/T 1333</w:t>
            </w:r>
          </w:p>
        </w:tc>
      </w:tr>
      <w:tr w14:paraId="7F69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E04282F">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p>
        </w:tc>
        <w:tc>
          <w:tcPr>
            <w:tcW w:w="3477" w:type="dxa"/>
            <w:vAlign w:val="center"/>
          </w:tcPr>
          <w:p w14:paraId="3003CDF7">
            <w:pPr>
              <w:widowControl w:val="0"/>
              <w:kinsoku/>
              <w:autoSpaceDE/>
              <w:autoSpaceDN/>
              <w:adjustRightInd/>
              <w:snapToGrid w:val="0"/>
              <w:spacing w:line="440" w:lineRule="exact"/>
              <w:jc w:val="center"/>
              <w:textAlignment w:val="auto"/>
              <w:rPr>
                <w:rFonts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拉链耐用度</w:t>
            </w:r>
          </w:p>
        </w:tc>
        <w:tc>
          <w:tcPr>
            <w:tcW w:w="3258" w:type="dxa"/>
            <w:vAlign w:val="center"/>
          </w:tcPr>
          <w:p w14:paraId="6C7DF8D5">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default" w:ascii="宋体" w:hAnsi="宋体" w:eastAsia="宋体" w:cs="宋体"/>
                <w:b w:val="0"/>
                <w:bCs w:val="0"/>
                <w:snapToGrid/>
                <w:color w:val="000000"/>
                <w:kern w:val="2"/>
                <w:sz w:val="28"/>
                <w:szCs w:val="28"/>
                <w:lang w:val="en-US" w:eastAsia="zh-CN"/>
              </w:rPr>
              <w:t>QB/T 1333</w:t>
            </w:r>
          </w:p>
        </w:tc>
      </w:tr>
      <w:tr w14:paraId="09E8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5D289703">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3</w:t>
            </w:r>
          </w:p>
        </w:tc>
        <w:tc>
          <w:tcPr>
            <w:tcW w:w="3477" w:type="dxa"/>
            <w:vAlign w:val="center"/>
          </w:tcPr>
          <w:p w14:paraId="4967242B">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缝合强度</w:t>
            </w:r>
          </w:p>
        </w:tc>
        <w:tc>
          <w:tcPr>
            <w:tcW w:w="3258" w:type="dxa"/>
            <w:vAlign w:val="center"/>
          </w:tcPr>
          <w:p w14:paraId="3A0B0294">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default" w:ascii="宋体" w:hAnsi="宋体" w:eastAsia="宋体" w:cs="宋体"/>
                <w:b w:val="0"/>
                <w:bCs w:val="0"/>
                <w:snapToGrid/>
                <w:color w:val="000000"/>
                <w:kern w:val="2"/>
                <w:sz w:val="28"/>
                <w:szCs w:val="28"/>
                <w:lang w:val="en-US" w:eastAsia="zh-CN"/>
              </w:rPr>
              <w:t>QB/T 1333</w:t>
            </w:r>
          </w:p>
        </w:tc>
      </w:tr>
      <w:tr w14:paraId="6891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B53D4FF">
            <w:pPr>
              <w:widowControl w:val="0"/>
              <w:kinsoku/>
              <w:autoSpaceDE/>
              <w:autoSpaceDN/>
              <w:adjustRightInd/>
              <w:snapToGrid w:val="0"/>
              <w:spacing w:line="440" w:lineRule="exact"/>
              <w:jc w:val="center"/>
              <w:textAlignment w:val="auto"/>
              <w:rPr>
                <w:rFonts w:hint="default"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4</w:t>
            </w:r>
          </w:p>
        </w:tc>
        <w:tc>
          <w:tcPr>
            <w:tcW w:w="3477" w:type="dxa"/>
            <w:shd w:val="clear" w:color="auto" w:fill="auto"/>
            <w:vAlign w:val="center"/>
          </w:tcPr>
          <w:p w14:paraId="542E66FE">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bidi="ar-SA"/>
              </w:rPr>
            </w:pPr>
            <w:r>
              <w:rPr>
                <w:rFonts w:hint="eastAsia" w:ascii="宋体" w:hAnsi="宋体" w:eastAsia="宋体" w:cs="宋体"/>
                <w:b w:val="0"/>
                <w:bCs w:val="0"/>
                <w:snapToGrid/>
                <w:color w:val="000000"/>
                <w:kern w:val="2"/>
                <w:sz w:val="28"/>
                <w:szCs w:val="28"/>
                <w:lang w:val="en-US" w:eastAsia="zh-CN"/>
              </w:rPr>
              <w:t>摩擦色牢度</w:t>
            </w:r>
          </w:p>
        </w:tc>
        <w:tc>
          <w:tcPr>
            <w:tcW w:w="3258" w:type="dxa"/>
            <w:shd w:val="clear" w:color="auto" w:fill="auto"/>
            <w:vAlign w:val="center"/>
          </w:tcPr>
          <w:p w14:paraId="5DD633CC">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bidi="ar-SA"/>
              </w:rPr>
            </w:pPr>
            <w:r>
              <w:rPr>
                <w:rFonts w:hint="default" w:ascii="宋体" w:hAnsi="宋体" w:eastAsia="宋体" w:cs="宋体"/>
                <w:b w:val="0"/>
                <w:bCs w:val="0"/>
                <w:snapToGrid/>
                <w:color w:val="000000"/>
                <w:kern w:val="2"/>
                <w:sz w:val="28"/>
                <w:szCs w:val="28"/>
                <w:lang w:val="en-US" w:eastAsia="zh-CN"/>
              </w:rPr>
              <w:t>QB/T 1333</w:t>
            </w:r>
          </w:p>
        </w:tc>
      </w:tr>
      <w:tr w14:paraId="69A3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1841BBC7">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5</w:t>
            </w:r>
          </w:p>
        </w:tc>
        <w:tc>
          <w:tcPr>
            <w:tcW w:w="3477" w:type="dxa"/>
            <w:vAlign w:val="center"/>
          </w:tcPr>
          <w:p w14:paraId="7CE35ED9">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标志</w:t>
            </w:r>
          </w:p>
        </w:tc>
        <w:tc>
          <w:tcPr>
            <w:tcW w:w="3258" w:type="dxa"/>
            <w:vAlign w:val="center"/>
          </w:tcPr>
          <w:p w14:paraId="5D9EE498">
            <w:pPr>
              <w:widowControl w:val="0"/>
              <w:kinsoku/>
              <w:autoSpaceDE/>
              <w:autoSpaceDN/>
              <w:adjustRightInd/>
              <w:snapToGrid w:val="0"/>
              <w:spacing w:line="440" w:lineRule="exact"/>
              <w:jc w:val="center"/>
              <w:textAlignment w:val="auto"/>
              <w:rPr>
                <w:rFonts w:hint="eastAsia" w:ascii="宋体" w:hAnsi="宋体" w:eastAsia="宋体" w:cs="宋体"/>
                <w:b w:val="0"/>
                <w:bCs w:val="0"/>
                <w:snapToGrid/>
                <w:color w:val="000000"/>
                <w:kern w:val="2"/>
                <w:sz w:val="28"/>
                <w:szCs w:val="28"/>
                <w:lang w:val="en-US" w:eastAsia="zh-CN"/>
              </w:rPr>
            </w:pPr>
            <w:r>
              <w:rPr>
                <w:rFonts w:hint="default" w:ascii="宋体" w:hAnsi="宋体" w:eastAsia="宋体" w:cs="宋体"/>
                <w:b w:val="0"/>
                <w:bCs w:val="0"/>
                <w:snapToGrid/>
                <w:color w:val="000000"/>
                <w:kern w:val="2"/>
                <w:sz w:val="28"/>
                <w:szCs w:val="28"/>
                <w:lang w:val="en-US" w:eastAsia="zh-CN"/>
              </w:rPr>
              <w:t>QB/T 1333</w:t>
            </w:r>
          </w:p>
        </w:tc>
      </w:tr>
    </w:tbl>
    <w:p w14:paraId="2E0A0F91">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p>
    <w:p w14:paraId="161F9115">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注：执行企业标准、团体标准、地方标准的产品，检验项目参照上述内容执行。</w:t>
      </w:r>
    </w:p>
    <w:p w14:paraId="009045F4">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凡是注日期的文件，其随后所有的修改单（不包括勘误的内容）或修订版不适用于本细则。凡是不注日期的文件，其最新版本适用于本细则。</w:t>
      </w:r>
    </w:p>
    <w:p w14:paraId="67D29293">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3 判定规则</w:t>
      </w:r>
    </w:p>
    <w:p w14:paraId="33051544">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3.1 标准依据</w:t>
      </w:r>
    </w:p>
    <w:p w14:paraId="13D7ACE5">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val="en-US" w:eastAsia="zh-CN"/>
        </w:rPr>
      </w:pPr>
      <w:r>
        <w:rPr>
          <w:rFonts w:hint="eastAsia" w:ascii="宋体" w:hAnsi="宋体" w:eastAsia="宋体" w:cs="宋体"/>
          <w:b w:val="0"/>
          <w:bCs w:val="0"/>
          <w:snapToGrid/>
          <w:color w:val="000000"/>
          <w:kern w:val="2"/>
          <w:sz w:val="28"/>
          <w:szCs w:val="28"/>
          <w:lang w:val="en-US" w:eastAsia="zh-CN"/>
        </w:rPr>
        <w:t>QB/T 2858 学生书袋</w:t>
      </w:r>
    </w:p>
    <w:p w14:paraId="3D731346">
      <w:pPr>
        <w:widowControl w:val="0"/>
        <w:kinsoku/>
        <w:autoSpaceDE/>
        <w:autoSpaceDN/>
        <w:adjustRightInd/>
        <w:snapToGrid w:val="0"/>
        <w:spacing w:line="440" w:lineRule="exact"/>
        <w:ind w:firstLine="560" w:firstLineChars="200"/>
        <w:jc w:val="both"/>
        <w:textAlignment w:val="auto"/>
        <w:rPr>
          <w:rFonts w:hint="default" w:ascii="宋体" w:hAnsi="宋体" w:eastAsia="宋体" w:cs="宋体"/>
          <w:b w:val="0"/>
          <w:bCs w:val="0"/>
          <w:snapToGrid/>
          <w:color w:val="000000"/>
          <w:kern w:val="2"/>
          <w:sz w:val="28"/>
          <w:szCs w:val="28"/>
          <w:lang w:val="en-US" w:eastAsia="zh-CN"/>
        </w:rPr>
      </w:pPr>
      <w:r>
        <w:rPr>
          <w:rFonts w:hint="default" w:ascii="宋体" w:hAnsi="宋体" w:eastAsia="宋体" w:cs="宋体"/>
          <w:b w:val="0"/>
          <w:bCs w:val="0"/>
          <w:snapToGrid/>
          <w:color w:val="000000"/>
          <w:kern w:val="2"/>
          <w:sz w:val="28"/>
          <w:szCs w:val="28"/>
          <w:lang w:val="en-US" w:eastAsia="zh-CN"/>
        </w:rPr>
        <w:t>QB/T 1333</w:t>
      </w:r>
      <w:r>
        <w:rPr>
          <w:rFonts w:hint="eastAsia" w:ascii="宋体" w:hAnsi="宋体" w:eastAsia="宋体" w:cs="宋体"/>
          <w:b w:val="0"/>
          <w:bCs w:val="0"/>
          <w:snapToGrid/>
          <w:color w:val="000000"/>
          <w:kern w:val="2"/>
          <w:sz w:val="28"/>
          <w:szCs w:val="28"/>
          <w:lang w:val="en-US" w:eastAsia="zh-CN"/>
        </w:rPr>
        <w:t xml:space="preserve"> </w:t>
      </w:r>
      <w:r>
        <w:rPr>
          <w:rFonts w:hint="default" w:ascii="宋体" w:hAnsi="宋体" w:eastAsia="宋体" w:cs="宋体"/>
          <w:b w:val="0"/>
          <w:bCs w:val="0"/>
          <w:snapToGrid/>
          <w:color w:val="000000"/>
          <w:kern w:val="2"/>
          <w:sz w:val="28"/>
          <w:szCs w:val="28"/>
          <w:lang w:val="en-US" w:eastAsia="zh-CN"/>
        </w:rPr>
        <w:t>背提包</w:t>
      </w:r>
    </w:p>
    <w:p w14:paraId="7BCD40A7">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相关的法律、行政法规、部门规章、规范性文件</w:t>
      </w:r>
    </w:p>
    <w:p w14:paraId="6B5CAFF2">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现行有效的企业标准、团体标准、地方标准及产品明示质量要求</w:t>
      </w:r>
    </w:p>
    <w:p w14:paraId="5BC2F754">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3.2 判定原则</w:t>
      </w:r>
    </w:p>
    <w:p w14:paraId="19F9EA14">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经检验，检验项目全部合格，判定为被抽查产品所检项目未发现不合格；检验项目中任一项或一项以上不合格，判定为被抽查产品不合格。</w:t>
      </w:r>
    </w:p>
    <w:p w14:paraId="7BB22634">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若被检产品明示的质量要求高于本细则中检验项目依据的标准要求时，应按被检产品明示的质量要求判定。</w:t>
      </w:r>
    </w:p>
    <w:p w14:paraId="23AC9A68">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若被检产品明示的质量要求低于本细则中检验项目依据的强制性标准要求时，应按照强制性标准要求判定。</w:t>
      </w:r>
    </w:p>
    <w:p w14:paraId="6F4C5AA6">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若被检产品明示的质量要求低于或包含细则中检验项目依据的推荐性标准要求时，应以被检产品明示的质量要求判定，但应在检验报告备注中进行说明。</w:t>
      </w:r>
    </w:p>
    <w:p w14:paraId="453AE41A">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若被检产品明示的质量要求缺少本细则中检验项目依据的强制性标准要求时，应按照强制性标准要求判定。</w:t>
      </w:r>
    </w:p>
    <w:p w14:paraId="53F3806D">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若被检产品明示的质量要求缺少本细则中检验项目依据的推荐性标准要求时，该项目不参与判定，但应在检验报告备注中进行说明。</w:t>
      </w:r>
    </w:p>
    <w:p w14:paraId="37CA6636">
      <w:pPr>
        <w:widowControl w:val="0"/>
        <w:kinsoku/>
        <w:autoSpaceDE/>
        <w:autoSpaceDN/>
        <w:adjustRightInd/>
        <w:snapToGrid w:val="0"/>
        <w:spacing w:line="440" w:lineRule="exact"/>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4 异议复检</w:t>
      </w:r>
    </w:p>
    <w:p w14:paraId="7379EFE5">
      <w:pPr>
        <w:widowControl w:val="0"/>
        <w:kinsoku/>
        <w:autoSpaceDE/>
        <w:autoSpaceDN/>
        <w:adjustRightInd/>
        <w:snapToGrid w:val="0"/>
        <w:spacing w:line="440" w:lineRule="exact"/>
        <w:ind w:firstLine="560" w:firstLineChars="200"/>
        <w:jc w:val="both"/>
        <w:textAlignment w:val="auto"/>
        <w:rPr>
          <w:rFonts w:hint="eastAsia" w:ascii="宋体" w:hAnsi="宋体" w:eastAsia="宋体" w:cs="宋体"/>
          <w:b w:val="0"/>
          <w:bCs w:val="0"/>
          <w:snapToGrid/>
          <w:color w:val="000000"/>
          <w:kern w:val="2"/>
          <w:sz w:val="28"/>
          <w:szCs w:val="28"/>
          <w:lang w:eastAsia="zh-CN"/>
        </w:rPr>
      </w:pPr>
      <w:r>
        <w:rPr>
          <w:rFonts w:hint="eastAsia" w:ascii="宋体" w:hAnsi="宋体" w:eastAsia="宋体" w:cs="宋体"/>
          <w:b w:val="0"/>
          <w:bCs w:val="0"/>
          <w:snapToGrid/>
          <w:color w:val="000000"/>
          <w:kern w:val="2"/>
          <w:sz w:val="28"/>
          <w:szCs w:val="28"/>
          <w:lang w:eastAsia="zh-CN"/>
        </w:rPr>
        <w:t>本细则中确定的全部检验项目，采用备用样品进行复检。</w:t>
      </w:r>
    </w:p>
    <w:p w14:paraId="1C864F00">
      <w:pPr>
        <w:pStyle w:val="2"/>
        <w:spacing w:before="162" w:line="227" w:lineRule="auto"/>
        <w:ind w:left="440"/>
      </w:pPr>
    </w:p>
    <w:sectPr>
      <w:pgSz w:w="11906" w:h="16839"/>
      <w:pgMar w:top="1428" w:right="1785" w:bottom="1429"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F73FB5"/>
    <w:rsid w:val="08233893"/>
    <w:rsid w:val="09B96D4E"/>
    <w:rsid w:val="0A031A4B"/>
    <w:rsid w:val="0B192C8D"/>
    <w:rsid w:val="0BE21434"/>
    <w:rsid w:val="10D22332"/>
    <w:rsid w:val="115B693C"/>
    <w:rsid w:val="12096398"/>
    <w:rsid w:val="13232134"/>
    <w:rsid w:val="134A6C68"/>
    <w:rsid w:val="147E7724"/>
    <w:rsid w:val="1C422BD3"/>
    <w:rsid w:val="1DE95937"/>
    <w:rsid w:val="1E2F342B"/>
    <w:rsid w:val="1F007FCF"/>
    <w:rsid w:val="1F38206B"/>
    <w:rsid w:val="206E4688"/>
    <w:rsid w:val="20F66E85"/>
    <w:rsid w:val="235B7D44"/>
    <w:rsid w:val="274B6F9C"/>
    <w:rsid w:val="278C73F8"/>
    <w:rsid w:val="281A2C55"/>
    <w:rsid w:val="2884548F"/>
    <w:rsid w:val="2B681F2A"/>
    <w:rsid w:val="2D0F402E"/>
    <w:rsid w:val="2DF301D1"/>
    <w:rsid w:val="30CD2F5B"/>
    <w:rsid w:val="42883B10"/>
    <w:rsid w:val="485F0C1A"/>
    <w:rsid w:val="4B73486A"/>
    <w:rsid w:val="522634B6"/>
    <w:rsid w:val="52CF44B9"/>
    <w:rsid w:val="53C0288A"/>
    <w:rsid w:val="582F7751"/>
    <w:rsid w:val="5C6F4617"/>
    <w:rsid w:val="5DCF19CA"/>
    <w:rsid w:val="5EFD6C39"/>
    <w:rsid w:val="620A1069"/>
    <w:rsid w:val="63084D13"/>
    <w:rsid w:val="63451804"/>
    <w:rsid w:val="647A5C59"/>
    <w:rsid w:val="67140294"/>
    <w:rsid w:val="6D8068B6"/>
    <w:rsid w:val="6F273D5F"/>
    <w:rsid w:val="71AB347B"/>
    <w:rsid w:val="74244DD1"/>
    <w:rsid w:val="7B6A2721"/>
    <w:rsid w:val="7E94083D"/>
    <w:rsid w:val="7F2A24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列出段落12"/>
    <w:basedOn w:val="1"/>
    <w:qFormat/>
    <w:uiPriority w:val="0"/>
    <w:pPr>
      <w:ind w:firstLine="420" w:firstLineChars="200"/>
    </w:pPr>
    <w:rPr>
      <w:rFonts w:ascii="Calibri" w:hAnsi="Calibri"/>
      <w:szCs w:val="22"/>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781</Words>
  <Characters>879</Characters>
  <TotalTime>154</TotalTime>
  <ScaleCrop>false</ScaleCrop>
  <LinksUpToDate>false</LinksUpToDate>
  <CharactersWithSpaces>909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创信检测</cp:lastModifiedBy>
  <dcterms:modified xsi:type="dcterms:W3CDTF">2026-03-12T06:55:02Z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2052-12.1.0.25225</vt:lpwstr>
  </property>
  <property fmtid="{D5CDD505-2E9C-101B-9397-08002B2CF9AE}" pid="6" name="ICV">
    <vt:lpwstr>0A8745EEAF1C4556AFEBD75A68C20ADA_12</vt:lpwstr>
  </property>
  <property fmtid="{D5CDD505-2E9C-101B-9397-08002B2CF9AE}" pid="7" name="KSOTemplateDocerSaveRecord">
    <vt:lpwstr>eyJoZGlkIjoiOTdiNzZkOTk1ODVkM2NjNmU3NDdhZjI1NDFkMDc1ZDQiLCJ1c2VySWQiOiI5OTAwOTk0MDkifQ==</vt:lpwstr>
  </property>
</Properties>
</file>