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6" w:line="220" w:lineRule="auto"/>
        <w:jc w:val="center"/>
        <w:outlineLvl w:val="0"/>
        <w:rPr>
          <w:sz w:val="28"/>
          <w:szCs w:val="28"/>
          <w:lang w:eastAsia="zh-CN"/>
        </w:rPr>
      </w:pPr>
      <w:bookmarkStart w:id="0" w:name="OLE_LINK2"/>
      <w:bookmarkStart w:id="1" w:name="OLE_LINK1"/>
      <w:r>
        <w:rPr>
          <w:rFonts w:hint="eastAsia"/>
          <w:b/>
          <w:bCs/>
          <w:spacing w:val="-4"/>
          <w:sz w:val="28"/>
          <w:szCs w:val="28"/>
          <w:lang w:eastAsia="zh-CN"/>
        </w:rPr>
        <w:t>枣庄市原电池</w:t>
      </w:r>
      <w:r>
        <w:rPr>
          <w:b/>
          <w:bCs/>
          <w:spacing w:val="-4"/>
          <w:sz w:val="28"/>
          <w:szCs w:val="28"/>
          <w:lang w:eastAsia="zh-CN"/>
        </w:rPr>
        <w:t>产品质量监督抽查实施细则</w:t>
      </w:r>
    </w:p>
    <w:p>
      <w:pPr>
        <w:pStyle w:val="3"/>
        <w:spacing w:before="160" w:line="220" w:lineRule="auto"/>
        <w:jc w:val="center"/>
        <w:outlineLvl w:val="0"/>
        <w:rPr>
          <w:sz w:val="28"/>
          <w:szCs w:val="28"/>
          <w:lang w:eastAsia="zh-CN"/>
        </w:rPr>
      </w:pPr>
      <w:r>
        <w:rPr>
          <w:b/>
          <w:bCs/>
          <w:spacing w:val="-6"/>
          <w:sz w:val="28"/>
          <w:szCs w:val="28"/>
          <w:lang w:eastAsia="zh-CN"/>
        </w:rPr>
        <w:t>（202</w:t>
      </w:r>
      <w:r>
        <w:rPr>
          <w:rFonts w:hint="eastAsia"/>
          <w:b/>
          <w:bCs/>
          <w:spacing w:val="-6"/>
          <w:sz w:val="28"/>
          <w:szCs w:val="28"/>
          <w:lang w:val="en-US" w:eastAsia="zh-CN"/>
        </w:rPr>
        <w:t>6</w:t>
      </w:r>
      <w:r>
        <w:rPr>
          <w:b/>
          <w:bCs/>
          <w:spacing w:val="-6"/>
          <w:sz w:val="28"/>
          <w:szCs w:val="28"/>
          <w:lang w:eastAsia="zh-CN"/>
        </w:rPr>
        <w:t>年</w:t>
      </w:r>
      <w:bookmarkStart w:id="7" w:name="_GoBack"/>
      <w:bookmarkEnd w:id="7"/>
      <w:r>
        <w:rPr>
          <w:rFonts w:hint="eastAsia"/>
          <w:b/>
          <w:bCs/>
          <w:spacing w:val="-6"/>
          <w:sz w:val="28"/>
          <w:szCs w:val="28"/>
          <w:lang w:eastAsia="zh-CN"/>
        </w:rPr>
        <w:t>版</w:t>
      </w:r>
      <w:r>
        <w:rPr>
          <w:b/>
          <w:bCs/>
          <w:spacing w:val="-6"/>
          <w:sz w:val="28"/>
          <w:szCs w:val="28"/>
          <w:lang w:eastAsia="zh-CN"/>
        </w:rPr>
        <w:t>）</w:t>
      </w:r>
    </w:p>
    <w:p>
      <w:pPr>
        <w:pStyle w:val="3"/>
        <w:widowControl w:val="0"/>
        <w:kinsoku/>
        <w:autoSpaceDE/>
        <w:autoSpaceDN/>
        <w:adjustRightInd/>
        <w:snapToGrid/>
        <w:spacing w:line="400" w:lineRule="exact"/>
        <w:ind w:left="17"/>
        <w:jc w:val="both"/>
        <w:textAlignment w:val="auto"/>
        <w:outlineLvl w:val="1"/>
        <w:rPr>
          <w:b/>
          <w:bCs/>
          <w:snapToGrid/>
          <w:spacing w:val="-5"/>
          <w:kern w:val="2"/>
          <w:sz w:val="21"/>
          <w:szCs w:val="21"/>
          <w:lang w:eastAsia="zh-CN"/>
        </w:rPr>
      </w:pPr>
      <w:r>
        <w:rPr>
          <w:b/>
          <w:bCs/>
          <w:snapToGrid/>
          <w:spacing w:val="-5"/>
          <w:kern w:val="2"/>
          <w:sz w:val="21"/>
          <w:szCs w:val="21"/>
          <w:lang w:eastAsia="zh-CN"/>
        </w:rPr>
        <w:t>1 抽样</w:t>
      </w:r>
    </w:p>
    <w:p>
      <w:pPr>
        <w:pStyle w:val="3"/>
        <w:spacing w:before="161" w:line="228" w:lineRule="auto"/>
        <w:rPr>
          <w:sz w:val="21"/>
          <w:szCs w:val="21"/>
          <w:lang w:eastAsia="zh-CN"/>
        </w:rPr>
      </w:pPr>
      <w:r>
        <w:rPr>
          <w:spacing w:val="3"/>
          <w:sz w:val="21"/>
          <w:szCs w:val="21"/>
          <w:lang w:eastAsia="zh-CN"/>
        </w:rPr>
        <w:t>1.1抽样方法</w:t>
      </w:r>
    </w:p>
    <w:p>
      <w:pPr>
        <w:pStyle w:val="3"/>
        <w:spacing w:before="161" w:line="227" w:lineRule="auto"/>
        <w:ind w:firstLine="452" w:firstLineChars="200"/>
        <w:rPr>
          <w:sz w:val="21"/>
          <w:szCs w:val="21"/>
          <w:lang w:eastAsia="zh-CN"/>
        </w:rPr>
      </w:pPr>
      <w:r>
        <w:rPr>
          <w:spacing w:val="8"/>
          <w:sz w:val="21"/>
          <w:szCs w:val="21"/>
          <w:lang w:eastAsia="zh-CN"/>
        </w:rPr>
        <w:t>以随机抽样的方式在被抽样生产者、销售者的待销产品中抽取。</w:t>
      </w:r>
    </w:p>
    <w:p>
      <w:pPr>
        <w:pStyle w:val="3"/>
        <w:spacing w:before="164" w:line="228" w:lineRule="auto"/>
        <w:rPr>
          <w:sz w:val="21"/>
          <w:szCs w:val="21"/>
          <w:lang w:eastAsia="zh-CN"/>
        </w:rPr>
      </w:pPr>
      <w:r>
        <w:rPr>
          <w:spacing w:val="3"/>
          <w:sz w:val="21"/>
          <w:szCs w:val="21"/>
          <w:lang w:eastAsia="zh-CN"/>
        </w:rPr>
        <w:t>1.2抽样基数</w:t>
      </w:r>
    </w:p>
    <w:p>
      <w:pPr>
        <w:pStyle w:val="3"/>
        <w:spacing w:before="160" w:line="228" w:lineRule="auto"/>
        <w:ind w:firstLine="452" w:firstLineChars="200"/>
        <w:rPr>
          <w:sz w:val="21"/>
          <w:szCs w:val="21"/>
          <w:lang w:eastAsia="zh-CN"/>
        </w:rPr>
      </w:pPr>
      <w:r>
        <w:rPr>
          <w:spacing w:val="8"/>
          <w:sz w:val="21"/>
          <w:szCs w:val="21"/>
          <w:lang w:eastAsia="zh-CN"/>
        </w:rPr>
        <w:t>抽查样品基数满足抽样数量即可。</w:t>
      </w:r>
    </w:p>
    <w:p>
      <w:pPr>
        <w:pStyle w:val="2"/>
        <w:widowControl w:val="0"/>
        <w:kinsoku/>
        <w:autoSpaceDE/>
        <w:autoSpaceDN/>
        <w:adjustRightInd/>
        <w:snapToGrid/>
        <w:spacing w:line="400" w:lineRule="exact"/>
        <w:textAlignment w:val="auto"/>
        <w:rPr>
          <w:rFonts w:ascii="宋体" w:hAnsi="宋体" w:eastAsia="宋体" w:cs="Times New Roman"/>
          <w:snapToGrid/>
          <w:kern w:val="2"/>
          <w:lang w:eastAsia="zh-CN"/>
        </w:rPr>
      </w:pPr>
      <w:bookmarkStart w:id="2" w:name="OLE_LINK5"/>
      <w:bookmarkStart w:id="3" w:name="OLE_LINK6"/>
      <w:r>
        <w:rPr>
          <w:rFonts w:ascii="宋体" w:hAnsi="宋体" w:eastAsia="宋体" w:cs="Times New Roman"/>
          <w:snapToGrid/>
          <w:kern w:val="2"/>
          <w:lang w:eastAsia="zh-CN"/>
        </w:rPr>
        <w:t>1.3 抽样范围</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 xml:space="preserve">抽取同一规格型号、同一批次的产品。 </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在生产企业或市场上随机抽取经企业以任何方式表明合格的产品。</w:t>
      </w:r>
    </w:p>
    <w:p>
      <w:pPr>
        <w:pStyle w:val="2"/>
        <w:widowControl w:val="0"/>
        <w:kinsoku/>
        <w:autoSpaceDE/>
        <w:autoSpaceDN/>
        <w:adjustRightInd/>
        <w:snapToGrid/>
        <w:spacing w:line="400" w:lineRule="exact"/>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1.</w:t>
      </w:r>
      <w:r>
        <w:rPr>
          <w:rFonts w:hint="eastAsia" w:ascii="宋体" w:hAnsi="宋体" w:eastAsia="宋体" w:cs="Times New Roman"/>
          <w:snapToGrid/>
          <w:kern w:val="2"/>
          <w:lang w:eastAsia="zh-CN"/>
        </w:rPr>
        <w:t>4</w:t>
      </w:r>
      <w:r>
        <w:rPr>
          <w:rFonts w:ascii="宋体" w:hAnsi="宋体" w:eastAsia="宋体" w:cs="Times New Roman"/>
          <w:snapToGrid/>
          <w:kern w:val="2"/>
          <w:lang w:eastAsia="zh-CN"/>
        </w:rPr>
        <w:t xml:space="preserve"> 抽样数量</w:t>
      </w:r>
    </w:p>
    <w:p>
      <w:pPr>
        <w:pStyle w:val="3"/>
        <w:widowControl w:val="0"/>
        <w:kinsoku/>
        <w:autoSpaceDE/>
        <w:autoSpaceDN/>
        <w:adjustRightInd/>
        <w:snapToGrid/>
        <w:spacing w:before="123" w:line="228" w:lineRule="auto"/>
        <w:ind w:firstLine="400" w:firstLineChars="200"/>
        <w:textAlignment w:val="auto"/>
        <w:outlineLvl w:val="0"/>
        <w:rPr>
          <w:lang w:eastAsia="zh-CN"/>
        </w:rPr>
      </w:pPr>
      <w:r>
        <w:rPr>
          <w:lang w:eastAsia="zh-CN"/>
        </w:rPr>
        <w:t>每种产品抽取样品 16 只，其中 8 只作为检验样品，8 只作为备用样。</w:t>
      </w:r>
    </w:p>
    <w:bookmarkEnd w:id="2"/>
    <w:bookmarkEnd w:id="3"/>
    <w:p>
      <w:pPr>
        <w:pStyle w:val="3"/>
        <w:widowControl w:val="0"/>
        <w:kinsoku/>
        <w:autoSpaceDE/>
        <w:autoSpaceDN/>
        <w:adjustRightInd/>
        <w:snapToGrid/>
        <w:spacing w:line="400" w:lineRule="exact"/>
        <w:jc w:val="both"/>
        <w:textAlignment w:val="auto"/>
        <w:outlineLvl w:val="1"/>
        <w:rPr>
          <w:b/>
          <w:bCs/>
          <w:snapToGrid/>
          <w:spacing w:val="-5"/>
          <w:kern w:val="2"/>
          <w:sz w:val="21"/>
          <w:szCs w:val="21"/>
          <w:lang w:eastAsia="zh-CN"/>
        </w:rPr>
      </w:pPr>
      <w:r>
        <w:rPr>
          <w:b/>
          <w:bCs/>
          <w:snapToGrid/>
          <w:spacing w:val="-5"/>
          <w:kern w:val="2"/>
          <w:sz w:val="21"/>
          <w:szCs w:val="21"/>
          <w:lang w:eastAsia="zh-CN"/>
        </w:rPr>
        <w:t>2 检验项目及检测方法</w:t>
      </w:r>
    </w:p>
    <w:p>
      <w:pPr>
        <w:pStyle w:val="3"/>
        <w:widowControl w:val="0"/>
        <w:kinsoku/>
        <w:autoSpaceDE/>
        <w:autoSpaceDN/>
        <w:adjustRightInd/>
        <w:snapToGrid/>
        <w:spacing w:before="123" w:line="228" w:lineRule="auto"/>
        <w:jc w:val="center"/>
        <w:textAlignment w:val="auto"/>
        <w:outlineLvl w:val="0"/>
        <w:rPr>
          <w:b/>
          <w:bCs/>
          <w:snapToGrid/>
          <w:spacing w:val="9"/>
          <w:kern w:val="2"/>
          <w:lang w:eastAsia="zh-CN"/>
        </w:rPr>
      </w:pPr>
      <w:r>
        <w:rPr>
          <w:b/>
          <w:bCs/>
          <w:snapToGrid/>
          <w:spacing w:val="9"/>
          <w:kern w:val="2"/>
          <w:lang w:eastAsia="zh-CN"/>
        </w:rPr>
        <w:t>表 2-1 原电池产品检验项目</w:t>
      </w:r>
    </w:p>
    <w:p>
      <w:pPr>
        <w:spacing w:line="20" w:lineRule="exact"/>
        <w:rPr>
          <w:lang w:eastAsia="zh-CN"/>
        </w:rPr>
      </w:pPr>
    </w:p>
    <w:tbl>
      <w:tblPr>
        <w:tblStyle w:val="8"/>
        <w:tblW w:w="9168"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6"/>
        <w:gridCol w:w="4076"/>
        <w:gridCol w:w="3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4" w:hRule="atLeast"/>
        </w:trPr>
        <w:tc>
          <w:tcPr>
            <w:tcW w:w="1236" w:type="dxa"/>
          </w:tcPr>
          <w:p>
            <w:pPr>
              <w:pStyle w:val="9"/>
              <w:spacing w:before="52" w:line="229" w:lineRule="auto"/>
              <w:ind w:left="411"/>
            </w:pPr>
            <w:r>
              <w:rPr>
                <w:spacing w:val="5"/>
              </w:rPr>
              <w:t>序号</w:t>
            </w:r>
          </w:p>
        </w:tc>
        <w:tc>
          <w:tcPr>
            <w:tcW w:w="4076" w:type="dxa"/>
          </w:tcPr>
          <w:p>
            <w:pPr>
              <w:pStyle w:val="9"/>
              <w:spacing w:before="51" w:line="228" w:lineRule="auto"/>
              <w:ind w:left="1624"/>
            </w:pPr>
            <w:r>
              <w:rPr>
                <w:spacing w:val="7"/>
              </w:rPr>
              <w:t>检验项目</w:t>
            </w:r>
          </w:p>
        </w:tc>
        <w:tc>
          <w:tcPr>
            <w:tcW w:w="3856" w:type="dxa"/>
            <w:vAlign w:val="center"/>
          </w:tcPr>
          <w:p>
            <w:pPr>
              <w:pStyle w:val="9"/>
              <w:spacing w:before="51"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3" w:hRule="atLeast"/>
        </w:trPr>
        <w:tc>
          <w:tcPr>
            <w:tcW w:w="1236" w:type="dxa"/>
          </w:tcPr>
          <w:p>
            <w:pPr>
              <w:pStyle w:val="9"/>
              <w:spacing w:before="81" w:line="270" w:lineRule="exact"/>
              <w:ind w:left="586"/>
            </w:pPr>
            <w:r>
              <w:rPr>
                <w:position w:val="1"/>
              </w:rPr>
              <w:t>1</w:t>
            </w:r>
          </w:p>
        </w:tc>
        <w:tc>
          <w:tcPr>
            <w:tcW w:w="4076" w:type="dxa"/>
            <w:vAlign w:val="center"/>
          </w:tcPr>
          <w:p>
            <w:pPr>
              <w:jc w:val="center"/>
              <w:rPr>
                <w:rFonts w:ascii="宋体" w:hAnsi="宋体" w:eastAsia="宋体" w:cs="宋体"/>
                <w:spacing w:val="7"/>
                <w:sz w:val="20"/>
                <w:szCs w:val="20"/>
                <w:lang w:eastAsia="zh-CN"/>
              </w:rPr>
            </w:pPr>
            <w:r>
              <w:rPr>
                <w:rFonts w:ascii="宋体" w:hAnsi="宋体" w:eastAsia="宋体" w:cs="宋体"/>
                <w:spacing w:val="7"/>
                <w:sz w:val="20"/>
                <w:szCs w:val="20"/>
                <w:lang w:eastAsia="zh-CN"/>
              </w:rPr>
              <w:t>开路电压</w:t>
            </w:r>
          </w:p>
        </w:tc>
        <w:tc>
          <w:tcPr>
            <w:tcW w:w="3856" w:type="dxa"/>
            <w:vAlign w:val="center"/>
          </w:tcPr>
          <w:p>
            <w:pPr>
              <w:pStyle w:val="9"/>
              <w:spacing w:before="80" w:line="233" w:lineRule="auto"/>
              <w:jc w:val="center"/>
              <w:rPr>
                <w:lang w:eastAsia="zh-CN"/>
              </w:rPr>
            </w:pPr>
            <w:bookmarkStart w:id="4" w:name="OLE_LINK3"/>
            <w:r>
              <w:t>GB/T 8897.2</w:t>
            </w:r>
            <w:bookmarkEnd w:id="4"/>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2" w:hRule="atLeast"/>
        </w:trPr>
        <w:tc>
          <w:tcPr>
            <w:tcW w:w="1236" w:type="dxa"/>
          </w:tcPr>
          <w:p>
            <w:pPr>
              <w:pStyle w:val="9"/>
              <w:spacing w:before="80" w:line="270" w:lineRule="exact"/>
              <w:ind w:left="573"/>
            </w:pPr>
            <w:r>
              <w:rPr>
                <w:position w:val="1"/>
              </w:rPr>
              <w:t>2</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rPr>
            </w:pPr>
            <w:r>
              <w:rPr>
                <w:rFonts w:hint="eastAsia" w:ascii="宋体" w:hAnsi="宋体" w:eastAsia="宋体" w:cs="宋体"/>
                <w:spacing w:val="7"/>
                <w:sz w:val="20"/>
                <w:szCs w:val="20"/>
              </w:rPr>
              <w:t>放电性能</w:t>
            </w:r>
          </w:p>
        </w:tc>
        <w:tc>
          <w:tcPr>
            <w:tcW w:w="3856" w:type="dxa"/>
            <w:vAlign w:val="center"/>
          </w:tcPr>
          <w:p>
            <w:pPr>
              <w:pStyle w:val="9"/>
              <w:spacing w:before="79" w:line="233" w:lineRule="auto"/>
              <w:jc w:val="center"/>
              <w:rPr>
                <w:lang w:eastAsia="zh-CN"/>
              </w:rPr>
            </w:pPr>
            <w:r>
              <w:t>GB/T 8897.2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tcPr>
          <w:p>
            <w:pPr>
              <w:pStyle w:val="9"/>
              <w:spacing w:before="79" w:line="269" w:lineRule="exact"/>
              <w:ind w:left="574"/>
            </w:pPr>
            <w:r>
              <w:rPr>
                <w:position w:val="1"/>
              </w:rPr>
              <w:t>3</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rPr>
            </w:pPr>
            <w:r>
              <w:rPr>
                <w:rFonts w:hint="eastAsia" w:ascii="宋体" w:hAnsi="宋体" w:eastAsia="宋体" w:cs="宋体"/>
                <w:spacing w:val="7"/>
                <w:sz w:val="20"/>
                <w:szCs w:val="20"/>
              </w:rPr>
              <w:t>泄露与变形</w:t>
            </w:r>
          </w:p>
        </w:tc>
        <w:tc>
          <w:tcPr>
            <w:tcW w:w="3856" w:type="dxa"/>
            <w:vAlign w:val="center"/>
          </w:tcPr>
          <w:p>
            <w:pPr>
              <w:pStyle w:val="9"/>
              <w:spacing w:before="79" w:line="233" w:lineRule="auto"/>
              <w:jc w:val="center"/>
            </w:pPr>
            <w:bookmarkStart w:id="5" w:name="OLE_LINK4"/>
            <w:r>
              <w:t>GB/T 8897.2</w:t>
            </w:r>
            <w:bookmarkEnd w:id="5"/>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tcPr>
          <w:p>
            <w:pPr>
              <w:pStyle w:val="9"/>
              <w:spacing w:before="80" w:line="270" w:lineRule="exact"/>
              <w:ind w:left="569"/>
            </w:pPr>
            <w:r>
              <w:rPr>
                <w:position w:val="1"/>
              </w:rPr>
              <w:t>4</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rPr>
            </w:pPr>
            <w:r>
              <w:rPr>
                <w:rFonts w:hint="eastAsia" w:ascii="宋体" w:hAnsi="宋体" w:eastAsia="宋体" w:cs="宋体"/>
                <w:spacing w:val="7"/>
                <w:sz w:val="20"/>
                <w:szCs w:val="20"/>
              </w:rPr>
              <w:t>标志</w:t>
            </w:r>
          </w:p>
        </w:tc>
        <w:tc>
          <w:tcPr>
            <w:tcW w:w="3856" w:type="dxa"/>
            <w:vAlign w:val="center"/>
          </w:tcPr>
          <w:p>
            <w:pPr>
              <w:pStyle w:val="9"/>
              <w:spacing w:before="80" w:line="233" w:lineRule="auto"/>
              <w:jc w:val="center"/>
            </w:pPr>
            <w:r>
              <w:t>GB/T 8897.</w:t>
            </w:r>
            <w:r>
              <w:rPr>
                <w:rFonts w:hint="eastAsia"/>
                <w:lang w:eastAsia="zh-CN"/>
              </w:rPr>
              <w:t>1</w:t>
            </w:r>
            <w:r>
              <w:t xml:space="preserve"> GB/T 8897.2</w:t>
            </w:r>
          </w:p>
        </w:tc>
      </w:tr>
    </w:tbl>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 xml:space="preserve">注：上表所列检验项目是有关法律法规、标准规定的，重点涉及健康、安全、节能、环保以及 消费者、有关组织反映有质量问题的重要项目。 </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 xml:space="preserve">执行企业标准、团体标准、地方标准、行业标准的产品，检验项目参照上述内容执行。 </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 xml:space="preserve">凡是注日期的文件，其随后所有的修改单（不包括勘误的内容）或修订版不适用于本细则。凡 是不注日期的文件，其最新版本适用于本细则。 </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产品明示标准未标注年代号的，检验时根据生产日期选择有效的执行标准</w:t>
      </w:r>
    </w:p>
    <w:p>
      <w:pPr>
        <w:pStyle w:val="3"/>
        <w:widowControl w:val="0"/>
        <w:kinsoku/>
        <w:autoSpaceDE/>
        <w:autoSpaceDN/>
        <w:adjustRightInd/>
        <w:snapToGrid/>
        <w:spacing w:line="400" w:lineRule="exact"/>
        <w:ind w:left="17"/>
        <w:jc w:val="both"/>
        <w:textAlignment w:val="auto"/>
        <w:outlineLvl w:val="1"/>
        <w:rPr>
          <w:b/>
          <w:bCs/>
          <w:snapToGrid/>
          <w:spacing w:val="-5"/>
          <w:kern w:val="2"/>
          <w:sz w:val="21"/>
          <w:szCs w:val="21"/>
          <w:lang w:eastAsia="zh-CN"/>
        </w:rPr>
      </w:pPr>
      <w:r>
        <w:rPr>
          <w:b/>
          <w:bCs/>
          <w:snapToGrid/>
          <w:spacing w:val="-5"/>
          <w:kern w:val="2"/>
          <w:sz w:val="21"/>
          <w:szCs w:val="21"/>
          <w:lang w:eastAsia="zh-CN"/>
        </w:rPr>
        <w:t>3 判定规则</w:t>
      </w:r>
    </w:p>
    <w:p>
      <w:pPr>
        <w:pStyle w:val="3"/>
        <w:spacing w:before="161" w:line="227" w:lineRule="auto"/>
        <w:ind w:left="122"/>
        <w:rPr>
          <w:spacing w:val="4"/>
          <w:lang w:eastAsia="zh-CN"/>
        </w:rPr>
      </w:pPr>
      <w:r>
        <w:rPr>
          <w:spacing w:val="4"/>
          <w:lang w:eastAsia="zh-CN"/>
        </w:rPr>
        <w:t>3.1 依据标准</w:t>
      </w:r>
    </w:p>
    <w:p>
      <w:pPr>
        <w:pStyle w:val="3"/>
        <w:spacing w:before="161" w:line="227" w:lineRule="auto"/>
        <w:ind w:left="122" w:leftChars="58" w:firstLine="420" w:firstLineChars="200"/>
        <w:rPr>
          <w:rFonts w:cs="Times New Roman"/>
          <w:snapToGrid/>
          <w:kern w:val="2"/>
          <w:sz w:val="21"/>
          <w:szCs w:val="21"/>
          <w:lang w:eastAsia="zh-CN"/>
        </w:rPr>
      </w:pPr>
      <w:r>
        <w:rPr>
          <w:rFonts w:cs="Times New Roman"/>
          <w:snapToGrid/>
          <w:kern w:val="2"/>
          <w:sz w:val="21"/>
          <w:szCs w:val="21"/>
          <w:lang w:eastAsia="zh-CN"/>
        </w:rPr>
        <w:t xml:space="preserve">GB/T 8897.1 原电池 第 1 部分：总则 </w:t>
      </w:r>
    </w:p>
    <w:p>
      <w:pPr>
        <w:pStyle w:val="3"/>
        <w:spacing w:before="161" w:line="227" w:lineRule="auto"/>
        <w:ind w:left="122" w:leftChars="58" w:firstLine="420" w:firstLineChars="200"/>
        <w:rPr>
          <w:rFonts w:cs="Times New Roman"/>
          <w:snapToGrid/>
          <w:kern w:val="2"/>
          <w:sz w:val="21"/>
          <w:szCs w:val="21"/>
          <w:lang w:eastAsia="zh-CN"/>
        </w:rPr>
      </w:pPr>
      <w:r>
        <w:rPr>
          <w:rFonts w:cs="Times New Roman"/>
          <w:snapToGrid/>
          <w:kern w:val="2"/>
          <w:sz w:val="21"/>
          <w:szCs w:val="21"/>
          <w:lang w:eastAsia="zh-CN"/>
        </w:rPr>
        <w:t xml:space="preserve">GB/T 8897.2 原电池 第 2 部分：外形尺寸和电性能 </w:t>
      </w:r>
    </w:p>
    <w:p>
      <w:pPr>
        <w:pStyle w:val="3"/>
        <w:spacing w:before="161" w:line="227" w:lineRule="auto"/>
        <w:ind w:left="122" w:leftChars="58" w:firstLine="420" w:firstLineChars="200"/>
        <w:rPr>
          <w:rFonts w:cs="Times New Roman"/>
          <w:snapToGrid/>
          <w:kern w:val="2"/>
          <w:sz w:val="21"/>
          <w:szCs w:val="21"/>
          <w:lang w:eastAsia="zh-CN"/>
        </w:rPr>
      </w:pPr>
      <w:bookmarkStart w:id="6" w:name="OLE_LINK7"/>
      <w:r>
        <w:rPr>
          <w:rFonts w:cs="Times New Roman"/>
          <w:snapToGrid/>
          <w:kern w:val="2"/>
          <w:sz w:val="21"/>
          <w:szCs w:val="21"/>
          <w:lang w:eastAsia="zh-CN"/>
        </w:rPr>
        <w:t xml:space="preserve">相关的法律法规、部门规章和规范 </w:t>
      </w:r>
    </w:p>
    <w:p>
      <w:pPr>
        <w:pStyle w:val="3"/>
        <w:spacing w:before="161" w:line="227" w:lineRule="auto"/>
        <w:ind w:left="122" w:leftChars="58" w:firstLine="420" w:firstLineChars="200"/>
        <w:rPr>
          <w:rFonts w:cs="Times New Roman"/>
          <w:snapToGrid/>
          <w:kern w:val="2"/>
          <w:sz w:val="21"/>
          <w:szCs w:val="21"/>
          <w:lang w:eastAsia="zh-CN"/>
        </w:rPr>
      </w:pPr>
      <w:r>
        <w:rPr>
          <w:rFonts w:cs="Times New Roman"/>
          <w:snapToGrid/>
          <w:kern w:val="2"/>
          <w:sz w:val="21"/>
          <w:szCs w:val="21"/>
          <w:lang w:eastAsia="zh-CN"/>
        </w:rPr>
        <w:t>现行有效的企业标准、团体标准、地方标准及产品明示质量要求</w:t>
      </w:r>
    </w:p>
    <w:bookmarkEnd w:id="6"/>
    <w:p>
      <w:pPr>
        <w:pStyle w:val="3"/>
        <w:spacing w:before="161" w:line="227" w:lineRule="auto"/>
        <w:ind w:left="122"/>
        <w:rPr>
          <w:spacing w:val="4"/>
          <w:lang w:eastAsia="zh-CN"/>
        </w:rPr>
      </w:pPr>
      <w:r>
        <w:rPr>
          <w:spacing w:val="4"/>
          <w:lang w:eastAsia="zh-CN"/>
        </w:rPr>
        <w:t>3.2 判定原则</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经检验，检验项目全部合格，判定为被抽查产品所检项目未发现不合格；检验项目中任一项或一项以上不合格，判定为被抽查产品不合格。</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若被检产品明示的质量要求高于本细则中检验项目依据的标准要求时，应按被检产品明示的质量要求判定。</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若被检产品明示的质量要求低于本细则中检验项目依据的强制性标准要求时，应按照强制性标准要求判定。</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若被检产品明示的质量要求低于或包含细则中检验项目依据的推荐性标准要求时，应以被检产品明示的质量要求判定，但应在检验报告备注中进行说明。</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若被检产品明示的质量要求缺少本细则中检验项目依据的强制性标准要求时，应按照强制性标准要求判定。</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若被检产品明示的质量要求缺少本细则中检验项目依据的推荐性标准要求时，该项目不参与判定，但应在检验报告备注中进行说明。</w:t>
      </w:r>
    </w:p>
    <w:p>
      <w:pPr>
        <w:pStyle w:val="3"/>
        <w:widowControl w:val="0"/>
        <w:kinsoku/>
        <w:autoSpaceDE/>
        <w:autoSpaceDN/>
        <w:adjustRightInd/>
        <w:snapToGrid/>
        <w:spacing w:line="400" w:lineRule="exact"/>
        <w:ind w:left="17"/>
        <w:jc w:val="both"/>
        <w:textAlignment w:val="auto"/>
        <w:outlineLvl w:val="1"/>
        <w:rPr>
          <w:b/>
          <w:bCs/>
          <w:snapToGrid/>
          <w:spacing w:val="-5"/>
          <w:kern w:val="2"/>
          <w:sz w:val="21"/>
          <w:szCs w:val="21"/>
          <w:lang w:eastAsia="zh-CN"/>
        </w:rPr>
      </w:pPr>
      <w:r>
        <w:rPr>
          <w:b/>
          <w:bCs/>
          <w:snapToGrid/>
          <w:spacing w:val="-5"/>
          <w:kern w:val="2"/>
          <w:sz w:val="21"/>
          <w:szCs w:val="21"/>
          <w:lang w:eastAsia="zh-CN"/>
        </w:rPr>
        <w:t>4 异议复检</w:t>
      </w:r>
    </w:p>
    <w:p>
      <w:pPr>
        <w:pStyle w:val="2"/>
        <w:widowControl w:val="0"/>
        <w:kinsoku/>
        <w:autoSpaceDE/>
        <w:autoSpaceDN/>
        <w:adjustRightInd/>
        <w:snapToGrid/>
        <w:spacing w:line="400" w:lineRule="exact"/>
        <w:ind w:firstLine="420" w:firstLineChars="200"/>
        <w:textAlignment w:val="auto"/>
        <w:rPr>
          <w:rFonts w:ascii="宋体" w:hAnsi="宋体" w:cs="Times New Roman" w:eastAsiaTheme="minorEastAsia"/>
          <w:snapToGrid/>
          <w:kern w:val="2"/>
          <w:lang w:eastAsia="zh-CN"/>
        </w:rPr>
      </w:pPr>
      <w:r>
        <w:rPr>
          <w:rFonts w:ascii="宋体" w:hAnsi="宋体" w:eastAsia="宋体" w:cs="Times New Roman"/>
          <w:snapToGrid/>
          <w:kern w:val="2"/>
          <w:lang w:eastAsia="zh-CN"/>
        </w:rPr>
        <w:t>本细则中确定的全部检验项目，采用备用样品进行复检。</w:t>
      </w:r>
      <w:r>
        <w:rPr>
          <w:lang w:eastAsia="zh-CN"/>
        </w:rPr>
        <w:t>相关标准规定有仲裁法的，复检应采用仲裁法</w:t>
      </w:r>
      <w:r>
        <w:rPr>
          <w:rFonts w:hint="eastAsia" w:eastAsiaTheme="minorEastAsia"/>
          <w:lang w:eastAsia="zh-CN"/>
        </w:rPr>
        <w:t>。</w:t>
      </w:r>
    </w:p>
    <w:bookmarkEnd w:id="0"/>
    <w:bookmarkEnd w:id="1"/>
    <w:p>
      <w:pPr>
        <w:pStyle w:val="3"/>
        <w:spacing w:before="2" w:line="354" w:lineRule="auto"/>
        <w:ind w:left="135" w:right="111" w:firstLine="403"/>
        <w:rPr>
          <w:spacing w:val="8"/>
          <w:lang w:eastAsia="zh-CN"/>
        </w:rPr>
      </w:pPr>
    </w:p>
    <w:sectPr>
      <w:footerReference r:id="rId3" w:type="default"/>
      <w:pgSz w:w="11906" w:h="16839"/>
      <w:pgMar w:top="1046" w:right="1362" w:bottom="1362" w:left="1596"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32"/>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2"/>
  </w:compat>
  <w:rsids>
    <w:rsidRoot w:val="003C72CE"/>
    <w:rsid w:val="000248CC"/>
    <w:rsid w:val="002B1DE1"/>
    <w:rsid w:val="003C72CE"/>
    <w:rsid w:val="00563718"/>
    <w:rsid w:val="006A3D4B"/>
    <w:rsid w:val="006E67BB"/>
    <w:rsid w:val="007226B2"/>
    <w:rsid w:val="008E560A"/>
    <w:rsid w:val="008F2437"/>
    <w:rsid w:val="00BB09AA"/>
    <w:rsid w:val="03DC2C52"/>
    <w:rsid w:val="08AD4E49"/>
    <w:rsid w:val="0CAF268A"/>
    <w:rsid w:val="0ECD24E0"/>
    <w:rsid w:val="12BA0E81"/>
    <w:rsid w:val="153C2279"/>
    <w:rsid w:val="247A388C"/>
    <w:rsid w:val="281C1498"/>
    <w:rsid w:val="2CC413E2"/>
    <w:rsid w:val="385B588E"/>
    <w:rsid w:val="3B006D19"/>
    <w:rsid w:val="41273B47"/>
    <w:rsid w:val="483A42C7"/>
    <w:rsid w:val="4FEFC118"/>
    <w:rsid w:val="4FF2410E"/>
    <w:rsid w:val="51A159FE"/>
    <w:rsid w:val="5CD36BF8"/>
    <w:rsid w:val="5F724B4A"/>
    <w:rsid w:val="604007A4"/>
    <w:rsid w:val="65B732B6"/>
    <w:rsid w:val="6EA14B04"/>
    <w:rsid w:val="6FBB1BF5"/>
    <w:rsid w:val="75F06371"/>
    <w:rsid w:val="78283BA0"/>
    <w:rsid w:val="7AC054CF"/>
    <w:rsid w:val="7DBB271B"/>
    <w:rsid w:val="B27B99B1"/>
    <w:rsid w:val="EAA3BCCB"/>
    <w:rsid w:val="EB8BEC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footer"/>
    <w:basedOn w:val="1"/>
    <w:link w:val="11"/>
    <w:uiPriority w:val="0"/>
    <w:pPr>
      <w:tabs>
        <w:tab w:val="center" w:pos="4153"/>
        <w:tab w:val="right" w:pos="8306"/>
      </w:tabs>
    </w:pPr>
    <w:rPr>
      <w:sz w:val="18"/>
      <w:szCs w:val="18"/>
    </w:rPr>
  </w:style>
  <w:style w:type="paragraph" w:styleId="5">
    <w:name w:val="header"/>
    <w:basedOn w:val="1"/>
    <w:link w:val="10"/>
    <w:uiPriority w:val="0"/>
    <w:pPr>
      <w:pBdr>
        <w:bottom w:val="single" w:color="auto" w:sz="6" w:space="1"/>
      </w:pBdr>
      <w:tabs>
        <w:tab w:val="center" w:pos="4153"/>
        <w:tab w:val="right" w:pos="8306"/>
      </w:tabs>
      <w:jc w:val="center"/>
    </w:pPr>
    <w:rPr>
      <w:sz w:val="18"/>
      <w:szCs w:val="18"/>
    </w:rPr>
  </w:style>
  <w:style w:type="table" w:customStyle="1" w:styleId="8">
    <w:name w:val="Table Normal"/>
    <w:semiHidden/>
    <w:unhideWhenUsed/>
    <w:qFormat/>
    <w:uiPriority w:val="0"/>
    <w:tblPr>
      <w:tblLayout w:type="fixed"/>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0"/>
      <w:szCs w:val="20"/>
    </w:rPr>
  </w:style>
  <w:style w:type="character" w:customStyle="1" w:styleId="10">
    <w:name w:val="页眉 Char"/>
    <w:basedOn w:val="6"/>
    <w:link w:val="5"/>
    <w:uiPriority w:val="0"/>
    <w:rPr>
      <w:rFonts w:ascii="Arial" w:hAnsi="Arial" w:eastAsia="Arial" w:cs="Arial"/>
      <w:snapToGrid w:val="0"/>
      <w:color w:val="000000"/>
      <w:sz w:val="18"/>
      <w:szCs w:val="18"/>
      <w:lang w:eastAsia="en-US"/>
    </w:rPr>
  </w:style>
  <w:style w:type="character" w:customStyle="1" w:styleId="11">
    <w:name w:val="页脚 Char"/>
    <w:basedOn w:val="6"/>
    <w:link w:val="4"/>
    <w:qFormat/>
    <w:uiPriority w:val="0"/>
    <w:rPr>
      <w:rFonts w:ascii="Arial" w:hAnsi="Arial" w:eastAsia="Arial" w:cs="Arial"/>
      <w:snapToGrid w:val="0"/>
      <w:color w:val="000000"/>
      <w:sz w:val="18"/>
      <w:szCs w:val="18"/>
      <w:lang w:eastAsia="en-US"/>
    </w:rPr>
  </w:style>
  <w:style w:type="character" w:customStyle="1" w:styleId="12">
    <w:name w:val="批注文字 Char"/>
    <w:basedOn w:val="6"/>
    <w:link w:val="2"/>
    <w:qFormat/>
    <w:uiPriority w:val="99"/>
    <w:rPr>
      <w:rFonts w:ascii="Arial" w:hAnsi="Arial" w:eastAsia="Arial" w:cs="Arial"/>
      <w:snapToGrid w:val="0"/>
      <w:color w:val="000000"/>
      <w:sz w:val="21"/>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157</Words>
  <Characters>897</Characters>
  <Lines>7</Lines>
  <Paragraphs>2</Paragraphs>
  <TotalTime>16</TotalTime>
  <ScaleCrop>false</ScaleCrop>
  <LinksUpToDate>false</LinksUpToDate>
  <CharactersWithSpaces>1052</CharactersWithSpaces>
  <Application>WPS Office_10.8.2.6543_F1E327BC-269C-435d-A152-05C5408002CA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2025-04-08T06:43:00Z</dcterms:created>
  <dc:creator>Legend User</dc:creator>
  <cp:lastModifiedBy>jq</cp:lastModifiedBy>
  <dcterms:modified xsi:type="dcterms:W3CDTF">2026-03-23T02:21:24Z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2025-03-31T12:03:28Z</vt:filetime>
  </property>
  <property fmtid="{D5CDD505-2E9C-101B-9397-08002B2CF9AE}" pid="4" name="KSOTemplateDocerSaveRecord">
    <vt:lpwstr>eyJoZGlkIjoiMDEwOGNiZmI5NzA4MWIzNjU0MDNlMTYyYzdiMjc5YTIiLCJ1c2VySWQiOiIyODIxMjczMDQifQ==</vt:lpwstr>
  </property>
  <property fmtid="{D5CDD505-2E9C-101B-9397-08002B2CF9AE}" pid="5" name="KSOProductBuildVer">
    <vt:lpwstr>2052-10.8.2.6543</vt:lpwstr>
  </property>
  <property fmtid="{D5CDD505-2E9C-101B-9397-08002B2CF9AE}" pid="6" name="ICV">
    <vt:lpwstr>6D1617874414414CA0E4DFED9FD7907B_12</vt:lpwstr>
  </property>
</Properties>
</file>