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AF99A">
      <w:pPr>
        <w:pStyle w:val="2"/>
        <w:spacing w:before="121"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val="en-US" w:eastAsia="zh-CN"/>
        </w:rPr>
        <w:t>枣庄市</w:t>
      </w:r>
      <w:r>
        <w:rPr>
          <w:rFonts w:hint="eastAsia" w:asciiTheme="minorEastAsia" w:hAnsiTheme="minorEastAsia" w:eastAsiaTheme="minorEastAsia" w:cstheme="minorEastAsia"/>
          <w:b w:val="0"/>
          <w:bCs w:val="0"/>
          <w:spacing w:val="-4"/>
          <w:sz w:val="28"/>
          <w:szCs w:val="28"/>
          <w:lang w:eastAsia="zh-CN"/>
        </w:rPr>
        <w:t>商</w:t>
      </w:r>
      <w:r>
        <w:rPr>
          <w:rFonts w:hint="eastAsia" w:asciiTheme="minorEastAsia" w:hAnsiTheme="minorEastAsia" w:eastAsiaTheme="minorEastAsia" w:cstheme="minorEastAsia"/>
          <w:b w:val="0"/>
          <w:bCs w:val="0"/>
          <w:spacing w:val="-4"/>
          <w:sz w:val="28"/>
          <w:szCs w:val="28"/>
        </w:rPr>
        <w:t>用燃气灶产品质量监督抽查实施细则</w:t>
      </w:r>
    </w:p>
    <w:p w14:paraId="7331F666">
      <w:pPr>
        <w:pStyle w:val="2"/>
        <w:spacing w:before="198" w:line="228" w:lineRule="auto"/>
        <w:ind w:left="141"/>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5"/>
          <w:sz w:val="28"/>
          <w:szCs w:val="28"/>
        </w:rPr>
        <w:t>抽样</w:t>
      </w:r>
    </w:p>
    <w:p w14:paraId="7587C3C0">
      <w:pPr>
        <w:pStyle w:val="2"/>
        <w:spacing w:before="208" w:line="228" w:lineRule="auto"/>
        <w:ind w:left="14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1.1</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抽样方法</w:t>
      </w:r>
    </w:p>
    <w:p w14:paraId="2D1988A1">
      <w:pPr>
        <w:pStyle w:val="2"/>
        <w:spacing w:before="161" w:line="228" w:lineRule="auto"/>
        <w:ind w:left="545"/>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rPr>
        <w:t>以随机抽样的方式在被抽样生产者、销售者的待销产品中抽取</w:t>
      </w:r>
      <w:r>
        <w:rPr>
          <w:rFonts w:hint="eastAsia" w:asciiTheme="minorEastAsia" w:hAnsiTheme="minorEastAsia" w:eastAsiaTheme="minorEastAsia" w:cstheme="minorEastAsia"/>
          <w:b w:val="0"/>
          <w:bCs w:val="0"/>
          <w:spacing w:val="5"/>
          <w:sz w:val="28"/>
          <w:szCs w:val="28"/>
          <w:lang w:eastAsia="zh-CN"/>
        </w:rPr>
        <w:t>。</w:t>
      </w:r>
    </w:p>
    <w:p w14:paraId="3FF4C31C">
      <w:pPr>
        <w:pStyle w:val="2"/>
        <w:spacing w:before="208" w:line="228" w:lineRule="auto"/>
        <w:ind w:left="141"/>
        <w:rPr>
          <w:rFonts w:hint="eastAsia" w:asciiTheme="minorEastAsia" w:hAnsiTheme="minorEastAsia" w:eastAsiaTheme="minorEastAsia" w:cstheme="minorEastAsia"/>
          <w:b w:val="0"/>
          <w:bCs w:val="0"/>
          <w:spacing w:val="3"/>
          <w:sz w:val="28"/>
          <w:szCs w:val="28"/>
        </w:rPr>
      </w:pPr>
      <w:r>
        <w:rPr>
          <w:rFonts w:hint="eastAsia" w:asciiTheme="minorEastAsia" w:hAnsiTheme="minorEastAsia" w:eastAsiaTheme="minorEastAsia" w:cstheme="minorEastAsia"/>
          <w:b w:val="0"/>
          <w:bCs w:val="0"/>
          <w:spacing w:val="3"/>
          <w:sz w:val="28"/>
          <w:szCs w:val="28"/>
        </w:rPr>
        <w:t>1.2 抽样基数</w:t>
      </w:r>
    </w:p>
    <w:p w14:paraId="66BBA77D">
      <w:pPr>
        <w:pStyle w:val="2"/>
        <w:spacing w:before="31" w:line="228" w:lineRule="auto"/>
        <w:ind w:left="54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抽样基数满足抽样数量即可。</w:t>
      </w:r>
    </w:p>
    <w:p w14:paraId="4A59EDEE">
      <w:pPr>
        <w:pStyle w:val="2"/>
        <w:spacing w:before="161" w:line="228" w:lineRule="auto"/>
        <w:ind w:left="14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1.3</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w:t>
      </w:r>
      <w:r>
        <w:rPr>
          <w:rFonts w:hint="eastAsia" w:asciiTheme="minorEastAsia" w:hAnsiTheme="minorEastAsia" w:eastAsiaTheme="minorEastAsia" w:cstheme="minorEastAsia"/>
          <w:b w:val="0"/>
          <w:bCs w:val="0"/>
          <w:spacing w:val="3"/>
          <w:sz w:val="28"/>
          <w:szCs w:val="28"/>
          <w:lang w:eastAsia="zh-CN"/>
        </w:rPr>
        <w:t>数量</w:t>
      </w:r>
    </w:p>
    <w:p w14:paraId="0C33DA9A">
      <w:pPr>
        <w:pStyle w:val="2"/>
        <w:spacing w:before="161" w:line="228" w:lineRule="auto"/>
        <w:ind w:left="545"/>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每种产品抽取样品</w:t>
      </w:r>
      <w:r>
        <w:rPr>
          <w:rFonts w:hint="eastAsia" w:asciiTheme="minorEastAsia" w:hAnsiTheme="minorEastAsia" w:eastAsiaTheme="minorEastAsia" w:cstheme="minorEastAsia"/>
          <w:b w:val="0"/>
          <w:bCs w:val="0"/>
          <w:spacing w:val="-31"/>
          <w:sz w:val="28"/>
          <w:szCs w:val="28"/>
        </w:rPr>
        <w:t xml:space="preserve"> </w:t>
      </w:r>
      <w:r>
        <w:rPr>
          <w:rFonts w:hint="eastAsia" w:asciiTheme="minorEastAsia" w:hAnsiTheme="minorEastAsia" w:eastAsiaTheme="minorEastAsia" w:cstheme="minorEastAsia"/>
          <w:b w:val="0"/>
          <w:bCs w:val="0"/>
          <w:spacing w:val="5"/>
          <w:sz w:val="28"/>
          <w:szCs w:val="28"/>
        </w:rPr>
        <w:t>2</w:t>
      </w:r>
      <w:r>
        <w:rPr>
          <w:rFonts w:hint="eastAsia" w:asciiTheme="minorEastAsia" w:hAnsiTheme="minorEastAsia" w:eastAsiaTheme="minorEastAsia" w:cstheme="minorEastAsia"/>
          <w:b w:val="0"/>
          <w:bCs w:val="0"/>
          <w:spacing w:val="-22"/>
          <w:sz w:val="28"/>
          <w:szCs w:val="28"/>
        </w:rPr>
        <w:t xml:space="preserve"> </w:t>
      </w:r>
      <w:r>
        <w:rPr>
          <w:rFonts w:hint="eastAsia" w:asciiTheme="minorEastAsia" w:hAnsiTheme="minorEastAsia" w:eastAsiaTheme="minorEastAsia" w:cstheme="minorEastAsia"/>
          <w:b w:val="0"/>
          <w:bCs w:val="0"/>
          <w:spacing w:val="5"/>
          <w:sz w:val="28"/>
          <w:szCs w:val="28"/>
        </w:rPr>
        <w:t>台，其中</w:t>
      </w:r>
      <w:r>
        <w:rPr>
          <w:rFonts w:hint="eastAsia" w:asciiTheme="minorEastAsia" w:hAnsiTheme="minorEastAsia" w:eastAsiaTheme="minorEastAsia" w:cstheme="minorEastAsia"/>
          <w:b w:val="0"/>
          <w:bCs w:val="0"/>
          <w:spacing w:val="-21"/>
          <w:sz w:val="28"/>
          <w:szCs w:val="28"/>
        </w:rPr>
        <w:t xml:space="preserve"> </w:t>
      </w: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22"/>
          <w:sz w:val="28"/>
          <w:szCs w:val="28"/>
        </w:rPr>
        <w:t xml:space="preserve"> </w:t>
      </w:r>
      <w:r>
        <w:rPr>
          <w:rFonts w:hint="eastAsia" w:asciiTheme="minorEastAsia" w:hAnsiTheme="minorEastAsia" w:eastAsiaTheme="minorEastAsia" w:cstheme="minorEastAsia"/>
          <w:b w:val="0"/>
          <w:bCs w:val="0"/>
          <w:spacing w:val="5"/>
          <w:sz w:val="28"/>
          <w:szCs w:val="28"/>
        </w:rPr>
        <w:t>台作为检验样品，1</w:t>
      </w:r>
      <w:r>
        <w:rPr>
          <w:rFonts w:hint="eastAsia" w:asciiTheme="minorEastAsia" w:hAnsiTheme="minorEastAsia" w:eastAsiaTheme="minorEastAsia" w:cstheme="minorEastAsia"/>
          <w:b w:val="0"/>
          <w:bCs w:val="0"/>
          <w:spacing w:val="-24"/>
          <w:sz w:val="28"/>
          <w:szCs w:val="28"/>
        </w:rPr>
        <w:t xml:space="preserve"> </w:t>
      </w:r>
      <w:r>
        <w:rPr>
          <w:rFonts w:hint="eastAsia" w:asciiTheme="minorEastAsia" w:hAnsiTheme="minorEastAsia" w:eastAsiaTheme="minorEastAsia" w:cstheme="minorEastAsia"/>
          <w:b w:val="0"/>
          <w:bCs w:val="0"/>
          <w:spacing w:val="5"/>
          <w:sz w:val="28"/>
          <w:szCs w:val="28"/>
        </w:rPr>
        <w:t>台作为备用样品。</w:t>
      </w:r>
    </w:p>
    <w:p w14:paraId="0439E271">
      <w:pPr>
        <w:pStyle w:val="2"/>
        <w:spacing w:before="66" w:line="228" w:lineRule="auto"/>
        <w:ind w:left="128"/>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2 检验项目及检测方法</w:t>
      </w:r>
    </w:p>
    <w:p w14:paraId="057D9E41">
      <w:pPr>
        <w:pStyle w:val="2"/>
        <w:spacing w:before="66" w:line="228" w:lineRule="auto"/>
        <w:ind w:left="2803"/>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rPr>
        <w:t>家用燃气灶产品检验项目</w:t>
      </w:r>
    </w:p>
    <w:p w14:paraId="06B1FF35">
      <w:pPr>
        <w:spacing w:line="131" w:lineRule="exact"/>
        <w:rPr>
          <w:rFonts w:hint="eastAsia" w:asciiTheme="minorEastAsia" w:hAnsiTheme="minorEastAsia" w:eastAsiaTheme="minorEastAsia" w:cstheme="minorEastAsia"/>
          <w:b w:val="0"/>
          <w:bCs w:val="0"/>
          <w:sz w:val="28"/>
          <w:szCs w:val="28"/>
        </w:rPr>
      </w:pPr>
    </w:p>
    <w:tbl>
      <w:tblPr>
        <w:tblStyle w:val="7"/>
        <w:tblW w:w="85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11"/>
        <w:gridCol w:w="4323"/>
        <w:gridCol w:w="3106"/>
      </w:tblGrid>
      <w:tr w14:paraId="3BC0B5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82" w:hRule="atLeast"/>
          <w:jc w:val="center"/>
        </w:trPr>
        <w:tc>
          <w:tcPr>
            <w:tcW w:w="1111" w:type="dxa"/>
            <w:vAlign w:val="center"/>
          </w:tcPr>
          <w:p w14:paraId="3BFE0C2F">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序号</w:t>
            </w:r>
          </w:p>
        </w:tc>
        <w:tc>
          <w:tcPr>
            <w:tcW w:w="4323" w:type="dxa"/>
            <w:vAlign w:val="center"/>
          </w:tcPr>
          <w:p w14:paraId="79F8C7B0">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检验项目</w:t>
            </w:r>
          </w:p>
        </w:tc>
        <w:tc>
          <w:tcPr>
            <w:tcW w:w="3106" w:type="dxa"/>
            <w:vAlign w:val="center"/>
          </w:tcPr>
          <w:p w14:paraId="24E620BA">
            <w:pPr>
              <w:pStyle w:val="8"/>
              <w:keepNext w:val="0"/>
              <w:keepLines w:val="0"/>
              <w:pageBreakBefore w:val="0"/>
              <w:widowControl/>
              <w:kinsoku w:val="0"/>
              <w:wordWrap/>
              <w:overflowPunct/>
              <w:topLinePunct w:val="0"/>
              <w:autoSpaceDE w:val="0"/>
              <w:autoSpaceDN w:val="0"/>
              <w:bidi w:val="0"/>
              <w:adjustRightInd w:val="0"/>
              <w:snapToGrid w:val="0"/>
              <w:spacing w:line="228"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检验方法</w:t>
            </w:r>
          </w:p>
        </w:tc>
      </w:tr>
      <w:tr w14:paraId="32CC9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1111" w:type="dxa"/>
            <w:vAlign w:val="center"/>
          </w:tcPr>
          <w:p w14:paraId="0194398E">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1</w:t>
            </w:r>
          </w:p>
        </w:tc>
        <w:tc>
          <w:tcPr>
            <w:tcW w:w="4323" w:type="dxa"/>
            <w:vAlign w:val="center"/>
          </w:tcPr>
          <w:p w14:paraId="689E202B">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气密性</w:t>
            </w:r>
          </w:p>
        </w:tc>
        <w:tc>
          <w:tcPr>
            <w:tcW w:w="3106" w:type="dxa"/>
            <w:vMerge w:val="restart"/>
            <w:vAlign w:val="center"/>
          </w:tcPr>
          <w:p w14:paraId="06E7E458">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 35848</w:t>
            </w:r>
          </w:p>
        </w:tc>
      </w:tr>
      <w:tr w14:paraId="004F33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1111" w:type="dxa"/>
            <w:vAlign w:val="center"/>
          </w:tcPr>
          <w:p w14:paraId="24CD6A73">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p>
        </w:tc>
        <w:tc>
          <w:tcPr>
            <w:tcW w:w="4323" w:type="dxa"/>
            <w:vAlign w:val="center"/>
          </w:tcPr>
          <w:p w14:paraId="1C2B9ABE">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火焰传递</w:t>
            </w:r>
          </w:p>
        </w:tc>
        <w:tc>
          <w:tcPr>
            <w:tcW w:w="3106" w:type="dxa"/>
            <w:vMerge w:val="continue"/>
            <w:vAlign w:val="center"/>
          </w:tcPr>
          <w:p w14:paraId="1A1E9F6E">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p>
        </w:tc>
      </w:tr>
      <w:tr w14:paraId="784CE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1111" w:type="dxa"/>
            <w:vAlign w:val="center"/>
          </w:tcPr>
          <w:p w14:paraId="341DF1DF">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w:t>
            </w:r>
          </w:p>
        </w:tc>
        <w:tc>
          <w:tcPr>
            <w:tcW w:w="4323" w:type="dxa"/>
            <w:vAlign w:val="center"/>
          </w:tcPr>
          <w:p w14:paraId="247E7CF9">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火焰状态</w:t>
            </w:r>
          </w:p>
        </w:tc>
        <w:tc>
          <w:tcPr>
            <w:tcW w:w="3106" w:type="dxa"/>
            <w:vMerge w:val="continue"/>
            <w:vAlign w:val="center"/>
          </w:tcPr>
          <w:p w14:paraId="4EE254FD">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p>
        </w:tc>
      </w:tr>
      <w:tr w14:paraId="422D19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1111" w:type="dxa"/>
            <w:vAlign w:val="center"/>
          </w:tcPr>
          <w:p w14:paraId="3063C738">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w:t>
            </w:r>
          </w:p>
        </w:tc>
        <w:tc>
          <w:tcPr>
            <w:tcW w:w="4323" w:type="dxa"/>
            <w:vAlign w:val="center"/>
          </w:tcPr>
          <w:p w14:paraId="06008E40">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主燃烧器 火焰稳定性</w:t>
            </w:r>
          </w:p>
        </w:tc>
        <w:tc>
          <w:tcPr>
            <w:tcW w:w="3106" w:type="dxa"/>
            <w:vMerge w:val="continue"/>
            <w:vAlign w:val="center"/>
          </w:tcPr>
          <w:p w14:paraId="397D42AA">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p>
        </w:tc>
      </w:tr>
      <w:tr w14:paraId="4B1805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1111" w:type="dxa"/>
            <w:vAlign w:val="center"/>
          </w:tcPr>
          <w:p w14:paraId="32755B05">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5</w:t>
            </w:r>
          </w:p>
        </w:tc>
        <w:tc>
          <w:tcPr>
            <w:tcW w:w="4323" w:type="dxa"/>
            <w:vAlign w:val="center"/>
          </w:tcPr>
          <w:p w14:paraId="7811FC51">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常明火 火焰稳定性</w:t>
            </w:r>
          </w:p>
        </w:tc>
        <w:tc>
          <w:tcPr>
            <w:tcW w:w="3106" w:type="dxa"/>
            <w:vMerge w:val="continue"/>
            <w:vAlign w:val="center"/>
          </w:tcPr>
          <w:p w14:paraId="4AE6D47A">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p>
        </w:tc>
      </w:tr>
      <w:tr w14:paraId="241CCA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1111" w:type="dxa"/>
            <w:vAlign w:val="center"/>
          </w:tcPr>
          <w:p w14:paraId="1EA05A09">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6</w:t>
            </w:r>
          </w:p>
        </w:tc>
        <w:tc>
          <w:tcPr>
            <w:tcW w:w="4323" w:type="dxa"/>
            <w:vAlign w:val="center"/>
          </w:tcPr>
          <w:p w14:paraId="4F375B2B">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运行噪声</w:t>
            </w:r>
          </w:p>
        </w:tc>
        <w:tc>
          <w:tcPr>
            <w:tcW w:w="3106" w:type="dxa"/>
            <w:vMerge w:val="continue"/>
            <w:vAlign w:val="center"/>
          </w:tcPr>
          <w:p w14:paraId="0AD143B9">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p>
        </w:tc>
      </w:tr>
      <w:tr w14:paraId="5898AA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1111" w:type="dxa"/>
            <w:vAlign w:val="center"/>
          </w:tcPr>
          <w:p w14:paraId="66C33BBD">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7</w:t>
            </w:r>
          </w:p>
        </w:tc>
        <w:tc>
          <w:tcPr>
            <w:tcW w:w="4323" w:type="dxa"/>
            <w:vAlign w:val="center"/>
          </w:tcPr>
          <w:p w14:paraId="33CDC3D7">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熄火噪声</w:t>
            </w:r>
          </w:p>
        </w:tc>
        <w:tc>
          <w:tcPr>
            <w:tcW w:w="3106" w:type="dxa"/>
            <w:vMerge w:val="continue"/>
            <w:vAlign w:val="center"/>
          </w:tcPr>
          <w:p w14:paraId="04409501">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p>
        </w:tc>
      </w:tr>
      <w:tr w14:paraId="0DC36B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1111" w:type="dxa"/>
            <w:vAlign w:val="center"/>
          </w:tcPr>
          <w:p w14:paraId="60CBB7C7">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8</w:t>
            </w:r>
          </w:p>
        </w:tc>
        <w:tc>
          <w:tcPr>
            <w:tcW w:w="4323" w:type="dxa"/>
            <w:vAlign w:val="center"/>
          </w:tcPr>
          <w:p w14:paraId="1F88FB03">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表面温升</w:t>
            </w:r>
          </w:p>
        </w:tc>
        <w:tc>
          <w:tcPr>
            <w:tcW w:w="3106" w:type="dxa"/>
            <w:vMerge w:val="continue"/>
            <w:vAlign w:val="center"/>
          </w:tcPr>
          <w:p w14:paraId="40C7F10B">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p>
        </w:tc>
      </w:tr>
      <w:tr w14:paraId="722A95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1111" w:type="dxa"/>
            <w:vAlign w:val="center"/>
          </w:tcPr>
          <w:p w14:paraId="61FA6BA5">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9</w:t>
            </w:r>
          </w:p>
        </w:tc>
        <w:tc>
          <w:tcPr>
            <w:tcW w:w="4323" w:type="dxa"/>
            <w:vAlign w:val="center"/>
          </w:tcPr>
          <w:p w14:paraId="7B7D270A">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外观</w:t>
            </w:r>
          </w:p>
        </w:tc>
        <w:tc>
          <w:tcPr>
            <w:tcW w:w="3106" w:type="dxa"/>
            <w:vMerge w:val="continue"/>
            <w:vAlign w:val="center"/>
          </w:tcPr>
          <w:p w14:paraId="4072F9EA">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p>
        </w:tc>
      </w:tr>
      <w:tr w14:paraId="7F788A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1111" w:type="dxa"/>
            <w:vAlign w:val="center"/>
          </w:tcPr>
          <w:p w14:paraId="78CA14F3">
            <w:pPr>
              <w:pStyle w:val="8"/>
              <w:keepNext w:val="0"/>
              <w:keepLines w:val="0"/>
              <w:pageBreakBefore w:val="0"/>
              <w:widowControl/>
              <w:kinsoku w:val="0"/>
              <w:wordWrap/>
              <w:overflowPunct/>
              <w:topLinePunct w:val="0"/>
              <w:autoSpaceDE w:val="0"/>
              <w:autoSpaceDN w:val="0"/>
              <w:bidi w:val="0"/>
              <w:adjustRightInd w:val="0"/>
              <w:snapToGrid w:val="0"/>
              <w:spacing w:line="189" w:lineRule="auto"/>
              <w:ind w:left="0"/>
              <w:jc w:val="center"/>
              <w:textAlignment w:val="baseline"/>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10</w:t>
            </w:r>
          </w:p>
        </w:tc>
        <w:tc>
          <w:tcPr>
            <w:tcW w:w="4323" w:type="dxa"/>
            <w:vAlign w:val="center"/>
          </w:tcPr>
          <w:p w14:paraId="674F08CB">
            <w:pPr>
              <w:pStyle w:val="8"/>
              <w:keepNext w:val="0"/>
              <w:keepLines w:val="0"/>
              <w:pageBreakBefore w:val="0"/>
              <w:widowControl/>
              <w:kinsoku w:val="0"/>
              <w:wordWrap/>
              <w:overflowPunct/>
              <w:topLinePunct w:val="0"/>
              <w:autoSpaceDE w:val="0"/>
              <w:autoSpaceDN w:val="0"/>
              <w:bidi w:val="0"/>
              <w:adjustRightInd w:val="0"/>
              <w:snapToGrid w:val="0"/>
              <w:spacing w:line="229" w:lineRule="auto"/>
              <w:ind w:left="0"/>
              <w:jc w:val="center"/>
              <w:textAlignment w:val="baseline"/>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通用结构</w:t>
            </w:r>
          </w:p>
        </w:tc>
        <w:tc>
          <w:tcPr>
            <w:tcW w:w="3106" w:type="dxa"/>
            <w:vMerge w:val="continue"/>
            <w:vAlign w:val="center"/>
          </w:tcPr>
          <w:p w14:paraId="5E8F8168">
            <w:pPr>
              <w:pStyle w:val="8"/>
              <w:keepNext w:val="0"/>
              <w:keepLines w:val="0"/>
              <w:pageBreakBefore w:val="0"/>
              <w:widowControl/>
              <w:kinsoku w:val="0"/>
              <w:wordWrap/>
              <w:overflowPunct/>
              <w:topLinePunct w:val="0"/>
              <w:autoSpaceDE w:val="0"/>
              <w:autoSpaceDN w:val="0"/>
              <w:bidi w:val="0"/>
              <w:adjustRightInd w:val="0"/>
              <w:snapToGrid w:val="0"/>
              <w:spacing w:line="190" w:lineRule="auto"/>
              <w:ind w:left="0"/>
              <w:jc w:val="center"/>
              <w:textAlignment w:val="baseline"/>
              <w:rPr>
                <w:rFonts w:hint="eastAsia" w:asciiTheme="minorEastAsia" w:hAnsiTheme="minorEastAsia" w:eastAsiaTheme="minorEastAsia" w:cstheme="minorEastAsia"/>
                <w:b w:val="0"/>
                <w:bCs w:val="0"/>
                <w:sz w:val="28"/>
                <w:szCs w:val="28"/>
              </w:rPr>
            </w:pPr>
          </w:p>
        </w:tc>
      </w:tr>
    </w:tbl>
    <w:p w14:paraId="4693BDF7">
      <w:pPr>
        <w:pStyle w:val="2"/>
        <w:keepNext w:val="0"/>
        <w:keepLines w:val="0"/>
        <w:pageBreakBefore w:val="0"/>
        <w:widowControl/>
        <w:kinsoku w:val="0"/>
        <w:wordWrap/>
        <w:overflowPunct w:val="0"/>
        <w:topLinePunct w:val="0"/>
        <w:autoSpaceDE w:val="0"/>
        <w:autoSpaceDN w:val="0"/>
        <w:bidi w:val="0"/>
        <w:adjustRightInd w:val="0"/>
        <w:snapToGrid w:val="0"/>
        <w:spacing w:before="65" w:line="365" w:lineRule="auto"/>
        <w:ind w:right="68" w:firstLine="596" w:firstLineChars="200"/>
        <w:textAlignment w:val="baseline"/>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注：执行企业标准、团体标准、地方标准的产品，检验项目参照上述内容执行。</w:t>
      </w:r>
    </w:p>
    <w:p w14:paraId="7A03167E">
      <w:pPr>
        <w:pStyle w:val="2"/>
        <w:spacing w:before="40" w:line="362" w:lineRule="auto"/>
        <w:ind w:right="13" w:firstLine="588"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凡是注日期的文件，其随后所有的修改单（不包括勘误的内容）或修订版不适用于本细</w:t>
      </w:r>
      <w:r>
        <w:rPr>
          <w:rFonts w:hint="eastAsia" w:asciiTheme="minorEastAsia" w:hAnsiTheme="minorEastAsia" w:eastAsiaTheme="minorEastAsia" w:cstheme="minorEastAsia"/>
          <w:b w:val="0"/>
          <w:bCs w:val="0"/>
          <w:spacing w:val="9"/>
          <w:sz w:val="28"/>
          <w:szCs w:val="28"/>
        </w:rPr>
        <w:t>则。凡是不注日期的文件，其最新版本适用于本细则。</w:t>
      </w:r>
    </w:p>
    <w:p w14:paraId="2975DAF7">
      <w:pPr>
        <w:pStyle w:val="2"/>
        <w:spacing w:before="35" w:line="228" w:lineRule="auto"/>
        <w:ind w:left="24"/>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3</w:t>
      </w:r>
      <w:r>
        <w:rPr>
          <w:rFonts w:hint="eastAsia" w:asciiTheme="minorEastAsia" w:hAnsiTheme="minorEastAsia" w:eastAsiaTheme="minorEastAsia" w:cstheme="minorEastAsia"/>
          <w:b w:val="0"/>
          <w:bCs w:val="0"/>
          <w:spacing w:val="14"/>
          <w:sz w:val="28"/>
          <w:szCs w:val="28"/>
        </w:rPr>
        <w:t xml:space="preserve"> </w:t>
      </w:r>
      <w:r>
        <w:rPr>
          <w:rFonts w:hint="eastAsia" w:asciiTheme="minorEastAsia" w:hAnsiTheme="minorEastAsia" w:eastAsiaTheme="minorEastAsia" w:cstheme="minorEastAsia"/>
          <w:b w:val="0"/>
          <w:bCs w:val="0"/>
          <w:spacing w:val="3"/>
          <w:sz w:val="28"/>
          <w:szCs w:val="28"/>
        </w:rPr>
        <w:t>判定规则</w:t>
      </w:r>
    </w:p>
    <w:p w14:paraId="4AAB807B">
      <w:pPr>
        <w:pStyle w:val="2"/>
        <w:spacing w:before="160" w:line="227" w:lineRule="auto"/>
        <w:ind w:left="2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rPr>
        <w:t>3.1</w:t>
      </w:r>
      <w:r>
        <w:rPr>
          <w:rFonts w:hint="eastAsia" w:asciiTheme="minorEastAsia" w:hAnsiTheme="minorEastAsia" w:eastAsiaTheme="minorEastAsia" w:cstheme="minorEastAsia"/>
          <w:b w:val="0"/>
          <w:bCs w:val="0"/>
          <w:spacing w:val="-37"/>
          <w:sz w:val="28"/>
          <w:szCs w:val="28"/>
        </w:rPr>
        <w:t xml:space="preserve"> </w:t>
      </w:r>
      <w:r>
        <w:rPr>
          <w:rFonts w:hint="eastAsia" w:asciiTheme="minorEastAsia" w:hAnsiTheme="minorEastAsia" w:eastAsiaTheme="minorEastAsia" w:cstheme="minorEastAsia"/>
          <w:b w:val="0"/>
          <w:bCs w:val="0"/>
          <w:spacing w:val="4"/>
          <w:sz w:val="28"/>
          <w:szCs w:val="28"/>
        </w:rPr>
        <w:t>标准依据</w:t>
      </w:r>
    </w:p>
    <w:p w14:paraId="4FDF92DE">
      <w:pPr>
        <w:pStyle w:val="2"/>
        <w:spacing w:before="162" w:line="228" w:lineRule="auto"/>
        <w:ind w:left="43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GB 35848 商用燃气燃烧器具</w:t>
      </w:r>
    </w:p>
    <w:p w14:paraId="1B8B68A7">
      <w:pPr>
        <w:pStyle w:val="2"/>
        <w:spacing w:before="164" w:line="227" w:lineRule="auto"/>
        <w:ind w:left="43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相关的法律、行政法规、部门规章、规范性文件</w:t>
      </w:r>
    </w:p>
    <w:p w14:paraId="0E89B7C2">
      <w:pPr>
        <w:pStyle w:val="2"/>
        <w:spacing w:before="161" w:line="228" w:lineRule="auto"/>
        <w:ind w:left="545"/>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 xml:space="preserve">现行有效的企业标准、团体标准、地方标准及产品明示质量要求 </w:t>
      </w:r>
    </w:p>
    <w:p w14:paraId="1AE9024F">
      <w:pPr>
        <w:pStyle w:val="2"/>
        <w:spacing w:before="161" w:line="228" w:lineRule="auto"/>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3.2 判定原则</w:t>
      </w:r>
    </w:p>
    <w:p w14:paraId="0878CD50">
      <w:pPr>
        <w:pStyle w:val="2"/>
        <w:spacing w:before="31" w:line="364" w:lineRule="auto"/>
        <w:ind w:left="23" w:right="13" w:firstLine="418"/>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经检验，检验项目全部合格，判定为被抽查产品所检项目未发现不合格；检验项目中任</w:t>
      </w:r>
      <w:r>
        <w:rPr>
          <w:rFonts w:hint="eastAsia" w:asciiTheme="minorEastAsia" w:hAnsiTheme="minorEastAsia" w:eastAsiaTheme="minorEastAsia" w:cstheme="minorEastAsia"/>
          <w:b w:val="0"/>
          <w:bCs w:val="0"/>
          <w:spacing w:val="9"/>
          <w:sz w:val="28"/>
          <w:szCs w:val="28"/>
        </w:rPr>
        <w:t>一项或一项以上不合格，判定为被抽查产品不合</w:t>
      </w:r>
      <w:r>
        <w:rPr>
          <w:rFonts w:hint="eastAsia" w:asciiTheme="minorEastAsia" w:hAnsiTheme="minorEastAsia" w:eastAsiaTheme="minorEastAsia" w:cstheme="minorEastAsia"/>
          <w:b w:val="0"/>
          <w:bCs w:val="0"/>
          <w:spacing w:val="8"/>
          <w:sz w:val="28"/>
          <w:szCs w:val="28"/>
        </w:rPr>
        <w:t>格。</w:t>
      </w:r>
    </w:p>
    <w:p w14:paraId="55D10716">
      <w:pPr>
        <w:pStyle w:val="2"/>
        <w:spacing w:before="30" w:line="362" w:lineRule="auto"/>
        <w:ind w:left="20" w:right="11" w:firstLine="42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若被检产品明示的质量要求高于本细则中检验项目依据的标准要求时，应按被检产品明</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7"/>
          <w:sz w:val="28"/>
          <w:szCs w:val="28"/>
        </w:rPr>
        <w:t>示的质量要求判定。</w:t>
      </w:r>
    </w:p>
    <w:p w14:paraId="5D28FA33">
      <w:pPr>
        <w:pStyle w:val="2"/>
        <w:spacing w:before="32" w:line="362" w:lineRule="auto"/>
        <w:ind w:left="20" w:right="13" w:firstLine="42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若被检产品明示的质量要求低于本细则中检验项目依据的强制性标准要求时，应按照强</w:t>
      </w:r>
      <w:r>
        <w:rPr>
          <w:rFonts w:hint="eastAsia" w:asciiTheme="minorEastAsia" w:hAnsiTheme="minorEastAsia" w:eastAsiaTheme="minorEastAsia" w:cstheme="minorEastAsia"/>
          <w:b w:val="0"/>
          <w:bCs w:val="0"/>
          <w:spacing w:val="12"/>
          <w:sz w:val="28"/>
          <w:szCs w:val="28"/>
        </w:rPr>
        <w:t xml:space="preserve"> </w:t>
      </w:r>
      <w:r>
        <w:rPr>
          <w:rFonts w:hint="eastAsia" w:asciiTheme="minorEastAsia" w:hAnsiTheme="minorEastAsia" w:eastAsiaTheme="minorEastAsia" w:cstheme="minorEastAsia"/>
          <w:b w:val="0"/>
          <w:bCs w:val="0"/>
          <w:spacing w:val="7"/>
          <w:sz w:val="28"/>
          <w:szCs w:val="28"/>
        </w:rPr>
        <w:t>制性标准要求判定。</w:t>
      </w:r>
    </w:p>
    <w:p w14:paraId="52E7AF9D">
      <w:pPr>
        <w:pStyle w:val="2"/>
        <w:spacing w:before="32" w:line="363" w:lineRule="auto"/>
        <w:ind w:left="43" w:right="11" w:firstLine="39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若被检产品明示的质量要求低于或包含本细则中检验项目依据的推荐性标准要求时，应</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8"/>
          <w:sz w:val="28"/>
          <w:szCs w:val="28"/>
        </w:rPr>
        <w:t>以被检产品明示的质量要求判定，但应在检验报告备注中进行说明。</w:t>
      </w:r>
    </w:p>
    <w:p w14:paraId="3133696E">
      <w:pPr>
        <w:pStyle w:val="2"/>
        <w:spacing w:before="31" w:line="362" w:lineRule="auto"/>
        <w:ind w:left="20" w:right="13" w:firstLine="42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若被检产品明示的质量要求缺少本细则中检验项目依据的强制性标准要求时，应按照强</w:t>
      </w:r>
      <w:r>
        <w:rPr>
          <w:rFonts w:hint="eastAsia" w:asciiTheme="minorEastAsia" w:hAnsiTheme="minorEastAsia" w:eastAsiaTheme="minorEastAsia" w:cstheme="minorEastAsia"/>
          <w:b w:val="0"/>
          <w:bCs w:val="0"/>
          <w:spacing w:val="12"/>
          <w:sz w:val="28"/>
          <w:szCs w:val="28"/>
        </w:rPr>
        <w:t xml:space="preserve"> </w:t>
      </w:r>
      <w:r>
        <w:rPr>
          <w:rFonts w:hint="eastAsia" w:asciiTheme="minorEastAsia" w:hAnsiTheme="minorEastAsia" w:eastAsiaTheme="minorEastAsia" w:cstheme="minorEastAsia"/>
          <w:b w:val="0"/>
          <w:bCs w:val="0"/>
          <w:spacing w:val="7"/>
          <w:sz w:val="28"/>
          <w:szCs w:val="28"/>
        </w:rPr>
        <w:t>制性标准要求判定。</w:t>
      </w:r>
    </w:p>
    <w:p w14:paraId="5DD9DB9D">
      <w:pPr>
        <w:pStyle w:val="2"/>
        <w:spacing w:before="32" w:line="363" w:lineRule="auto"/>
        <w:ind w:left="21" w:right="13" w:firstLine="41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若被检产品明示的质量要求缺少本细则中检验项目依据的推荐性标准要求时，该项目不</w:t>
      </w:r>
      <w:r>
        <w:rPr>
          <w:rFonts w:hint="eastAsia" w:asciiTheme="minorEastAsia" w:hAnsiTheme="minorEastAsia" w:eastAsiaTheme="minorEastAsia" w:cstheme="minorEastAsia"/>
          <w:b w:val="0"/>
          <w:bCs w:val="0"/>
          <w:spacing w:val="12"/>
          <w:sz w:val="28"/>
          <w:szCs w:val="28"/>
        </w:rPr>
        <w:t xml:space="preserve"> </w:t>
      </w:r>
      <w:r>
        <w:rPr>
          <w:rFonts w:hint="eastAsia" w:asciiTheme="minorEastAsia" w:hAnsiTheme="minorEastAsia" w:eastAsiaTheme="minorEastAsia" w:cstheme="minorEastAsia"/>
          <w:b w:val="0"/>
          <w:bCs w:val="0"/>
          <w:spacing w:val="8"/>
          <w:sz w:val="28"/>
          <w:szCs w:val="28"/>
        </w:rPr>
        <w:t>参与判定，但应在检验报告备注中进行说明。</w:t>
      </w:r>
    </w:p>
    <w:p w14:paraId="2A47D8B6">
      <w:pPr>
        <w:pStyle w:val="2"/>
        <w:spacing w:before="31" w:line="228" w:lineRule="auto"/>
        <w:ind w:left="19"/>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4</w:t>
      </w:r>
      <w:r>
        <w:rPr>
          <w:rFonts w:hint="eastAsia" w:asciiTheme="minorEastAsia" w:hAnsiTheme="minorEastAsia" w:eastAsiaTheme="minorEastAsia" w:cstheme="minorEastAsia"/>
          <w:b w:val="0"/>
          <w:bCs w:val="0"/>
          <w:spacing w:val="19"/>
          <w:sz w:val="28"/>
          <w:szCs w:val="28"/>
        </w:rPr>
        <w:t xml:space="preserve"> </w:t>
      </w:r>
      <w:r>
        <w:rPr>
          <w:rFonts w:hint="eastAsia" w:asciiTheme="minorEastAsia" w:hAnsiTheme="minorEastAsia" w:eastAsiaTheme="minorEastAsia" w:cstheme="minorEastAsia"/>
          <w:b w:val="0"/>
          <w:bCs w:val="0"/>
          <w:spacing w:val="3"/>
          <w:sz w:val="28"/>
          <w:szCs w:val="28"/>
        </w:rPr>
        <w:t>异议复检</w:t>
      </w:r>
    </w:p>
    <w:p w14:paraId="76787589">
      <w:pPr>
        <w:pStyle w:val="2"/>
        <w:spacing w:before="161" w:line="227" w:lineRule="auto"/>
        <w:ind w:left="44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本细则中确定的全部检验项目，采用备用样品进行复检。</w:t>
      </w:r>
    </w:p>
    <w:sectPr>
      <w:footerReference r:id="rId5" w:type="default"/>
      <w:pgSz w:w="11906" w:h="16839"/>
      <w:pgMar w:top="1440" w:right="1083" w:bottom="1440" w:left="1083" w:header="0" w:footer="1411"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437E7">
    <w:pPr>
      <w:spacing w:line="169" w:lineRule="auto"/>
      <w:ind w:left="4130"/>
      <w:rPr>
        <w:rFonts w:hint="eastAsia" w:ascii="Calibri" w:hAnsi="Calibri" w:eastAsia="宋体" w:cs="Calibri"/>
        <w:sz w:val="18"/>
        <w:szCs w:val="18"/>
        <w:lang w:val="en-US" w:eastAsia="zh-CN"/>
      </w:rPr>
    </w:pPr>
    <w:r>
      <w:rPr>
        <w:rFonts w:hint="default"/>
        <w:sz w:val="18"/>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8C4672">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8C4672">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0C82EB8"/>
    <w:rsid w:val="01463644"/>
    <w:rsid w:val="01B14C06"/>
    <w:rsid w:val="023B6BC5"/>
    <w:rsid w:val="053B7608"/>
    <w:rsid w:val="09652EA6"/>
    <w:rsid w:val="0A4C1970"/>
    <w:rsid w:val="0EA325B7"/>
    <w:rsid w:val="108C51BC"/>
    <w:rsid w:val="15595889"/>
    <w:rsid w:val="167F4E7B"/>
    <w:rsid w:val="17050116"/>
    <w:rsid w:val="1A8769F4"/>
    <w:rsid w:val="1AC83294"/>
    <w:rsid w:val="1CFC0FD3"/>
    <w:rsid w:val="1D5C4704"/>
    <w:rsid w:val="1ED2745B"/>
    <w:rsid w:val="1F59095F"/>
    <w:rsid w:val="1F7D17A9"/>
    <w:rsid w:val="2217065D"/>
    <w:rsid w:val="24065EEA"/>
    <w:rsid w:val="24394AB8"/>
    <w:rsid w:val="2DC93154"/>
    <w:rsid w:val="3276317E"/>
    <w:rsid w:val="32B85545"/>
    <w:rsid w:val="33EA7980"/>
    <w:rsid w:val="36201D7F"/>
    <w:rsid w:val="36E36908"/>
    <w:rsid w:val="381476C1"/>
    <w:rsid w:val="388B5124"/>
    <w:rsid w:val="39241B86"/>
    <w:rsid w:val="3A3E6C77"/>
    <w:rsid w:val="3B256CB1"/>
    <w:rsid w:val="3B573127"/>
    <w:rsid w:val="3E35213F"/>
    <w:rsid w:val="3F2B709E"/>
    <w:rsid w:val="414A5F02"/>
    <w:rsid w:val="42241F48"/>
    <w:rsid w:val="4421079F"/>
    <w:rsid w:val="455C4FF6"/>
    <w:rsid w:val="493F0316"/>
    <w:rsid w:val="50A0029B"/>
    <w:rsid w:val="53A45945"/>
    <w:rsid w:val="545A24A8"/>
    <w:rsid w:val="59B241EC"/>
    <w:rsid w:val="59C56616"/>
    <w:rsid w:val="5C950521"/>
    <w:rsid w:val="5EB86749"/>
    <w:rsid w:val="5FA10221"/>
    <w:rsid w:val="609967AC"/>
    <w:rsid w:val="615A095C"/>
    <w:rsid w:val="65FC4EF3"/>
    <w:rsid w:val="666920D7"/>
    <w:rsid w:val="67642FCA"/>
    <w:rsid w:val="68A904E9"/>
    <w:rsid w:val="69012A9A"/>
    <w:rsid w:val="692100D5"/>
    <w:rsid w:val="6D82064E"/>
    <w:rsid w:val="6FBA7D10"/>
    <w:rsid w:val="70027824"/>
    <w:rsid w:val="70EB02B8"/>
    <w:rsid w:val="738E7FF1"/>
    <w:rsid w:val="75A93EC3"/>
    <w:rsid w:val="766528BB"/>
    <w:rsid w:val="79C11AFD"/>
    <w:rsid w:val="7A923E9A"/>
    <w:rsid w:val="7CDD27D9"/>
    <w:rsid w:val="7D761851"/>
    <w:rsid w:val="7DFA42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728</Words>
  <Characters>749</Characters>
  <TotalTime>71</TotalTime>
  <ScaleCrop>false</ScaleCrop>
  <LinksUpToDate>false</LinksUpToDate>
  <CharactersWithSpaces>774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创信检测</cp:lastModifiedBy>
  <dcterms:modified xsi:type="dcterms:W3CDTF">2026-03-14T00:51:35Z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2024-07-04T08:40:46Z</vt:filetime>
  </property>
  <property fmtid="{D5CDD505-2E9C-101B-9397-08002B2CF9AE}" pid="4" name="KSOProductBuildVer">
    <vt:lpwstr>2052-12.1.0.25225</vt:lpwstr>
  </property>
  <property fmtid="{D5CDD505-2E9C-101B-9397-08002B2CF9AE}" pid="5" name="ICV">
    <vt:lpwstr>71F3CD450B4547218EE1636EEF3EFA59_12</vt:lpwstr>
  </property>
  <property fmtid="{D5CDD505-2E9C-101B-9397-08002B2CF9AE}" pid="6" name="KSOTemplateDocerSaveRecord">
    <vt:lpwstr>eyJoZGlkIjoiOTdiNzZkOTk1ODVkM2NjNmU3NDdhZjI1NDFkMDc1ZDQiLCJ1c2VySWQiOiI5OTAwOTk0MDkifQ==</vt:lpwstr>
  </property>
</Properties>
</file>