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337BD4">
      <w:pPr>
        <w:pStyle w:val="3"/>
        <w:spacing w:before="56" w:line="220" w:lineRule="auto"/>
        <w:jc w:val="center"/>
        <w:outlineLvl w:val="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4"/>
          <w:sz w:val="28"/>
          <w:szCs w:val="28"/>
          <w:lang w:eastAsia="zh-CN"/>
        </w:rPr>
        <w:t>枣庄市</w:t>
      </w:r>
      <w:r>
        <w:rPr>
          <w:rFonts w:hint="eastAsia" w:asciiTheme="minorEastAsia" w:hAnsiTheme="minorEastAsia" w:eastAsiaTheme="minorEastAsia" w:cstheme="minorEastAsia"/>
          <w:b w:val="0"/>
          <w:bCs w:val="0"/>
          <w:spacing w:val="-4"/>
          <w:sz w:val="28"/>
          <w:szCs w:val="28"/>
          <w:lang w:val="en-US" w:eastAsia="zh-CN"/>
        </w:rPr>
        <w:t>建筑用夹层玻璃</w:t>
      </w:r>
      <w:r>
        <w:rPr>
          <w:rFonts w:hint="eastAsia" w:asciiTheme="minorEastAsia" w:hAnsiTheme="minorEastAsia" w:eastAsiaTheme="minorEastAsia" w:cstheme="minorEastAsia"/>
          <w:b w:val="0"/>
          <w:bCs w:val="0"/>
          <w:spacing w:val="-4"/>
          <w:sz w:val="28"/>
          <w:szCs w:val="28"/>
        </w:rPr>
        <w:t>产品质量监督抽查实施细则</w:t>
      </w:r>
    </w:p>
    <w:p w14:paraId="0AA8CDCE">
      <w:pPr>
        <w:pStyle w:val="3"/>
        <w:spacing w:before="30" w:line="418" w:lineRule="auto"/>
        <w:ind w:right="15"/>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1 抽样</w:t>
      </w:r>
    </w:p>
    <w:p w14:paraId="34CF547B">
      <w:pPr>
        <w:pStyle w:val="3"/>
        <w:spacing w:before="30" w:line="418" w:lineRule="auto"/>
        <w:ind w:right="15"/>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1.1 抽样方法</w:t>
      </w:r>
    </w:p>
    <w:p w14:paraId="14A4279F">
      <w:pPr>
        <w:pStyle w:val="3"/>
        <w:spacing w:before="30" w:line="418" w:lineRule="auto"/>
        <w:ind w:left="23" w:right="15" w:firstLine="417"/>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以随机抽样的方式在被抽样生产者、销售者的待销产品中抽取。</w:t>
      </w:r>
    </w:p>
    <w:p w14:paraId="2F1696F6">
      <w:pPr>
        <w:pStyle w:val="3"/>
        <w:spacing w:before="30" w:line="418" w:lineRule="auto"/>
        <w:ind w:right="15" w:firstLine="588" w:firstLineChars="200"/>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抽取产品应为同一结构(构成夹层玻璃的各层的材质、厚度及颜色均相同)、同一中间层种类的平面建筑用夹层玻璃产品。因建筑用夹层玻璃产品不可切裁,标准中要求了特定规格的试样，由企业采用与被抽查产品相同材料、相同结构、相同工艺条件现场制作的方式提供:尺寸及数量分别:300mmx300mm的样品 27块(15块检验样品，12块备用样品):300mmx76mm的样品12块(6块作为检验样品，6块作为备用样品):610mmx610mm 的样品24块(12块作为检验样品，12块作为备用样品):1930mmx864mm的样品8块(4块作为检验样品，4块作为备用样品)。</w:t>
      </w:r>
    </w:p>
    <w:p w14:paraId="5CB48EB7">
      <w:pPr>
        <w:pStyle w:val="3"/>
        <w:spacing w:before="30" w:line="418" w:lineRule="auto"/>
        <w:ind w:right="15"/>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1.2 抽样基数</w:t>
      </w:r>
    </w:p>
    <w:p w14:paraId="66D1BD54">
      <w:pPr>
        <w:pStyle w:val="3"/>
        <w:spacing w:before="30" w:line="418" w:lineRule="auto"/>
        <w:ind w:left="23" w:right="15" w:firstLine="417"/>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抽查样品基数满足抽样数量即可。</w:t>
      </w:r>
    </w:p>
    <w:p w14:paraId="0F4BECD1">
      <w:pPr>
        <w:pStyle w:val="3"/>
        <w:spacing w:before="144" w:line="221" w:lineRule="auto"/>
        <w:ind w:left="428" w:hanging="588" w:hangingChars="200"/>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 xml:space="preserve">1.3抽样数量                                                                    </w:t>
      </w:r>
    </w:p>
    <w:p w14:paraId="5BA39A46">
      <w:pPr>
        <w:pStyle w:val="3"/>
        <w:spacing w:before="30" w:line="418" w:lineRule="auto"/>
        <w:ind w:left="23" w:right="15" w:firstLine="417"/>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每批次产品抽取样品20块，其中10块作为检验样品，10块作为备用样品:</w:t>
      </w:r>
    </w:p>
    <w:p w14:paraId="6DA9FC62">
      <w:pPr>
        <w:pStyle w:val="3"/>
        <w:spacing w:before="30" w:line="418" w:lineRule="auto"/>
        <w:ind w:right="15"/>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2 检验项目及检测方法</w:t>
      </w:r>
    </w:p>
    <w:p w14:paraId="0399CDD5">
      <w:pPr>
        <w:pStyle w:val="3"/>
        <w:spacing w:before="30" w:line="418" w:lineRule="auto"/>
        <w:ind w:left="23" w:right="15" w:firstLine="417"/>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表 1 建筑用夹层玻璃产品检验项目</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0"/>
        <w:gridCol w:w="2671"/>
        <w:gridCol w:w="4125"/>
      </w:tblGrid>
      <w:tr w14:paraId="1BADD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640" w:type="dxa"/>
            <w:vAlign w:val="center"/>
          </w:tcPr>
          <w:p w14:paraId="6D22D9B2">
            <w:pPr>
              <w:pStyle w:val="9"/>
              <w:widowControl w:val="0"/>
              <w:spacing w:before="65" w:line="229" w:lineRule="auto"/>
              <w:jc w:val="center"/>
              <w:rPr>
                <w:rFonts w:hint="eastAsia" w:asciiTheme="minorEastAsia" w:hAnsiTheme="minorEastAsia" w:eastAsiaTheme="minorEastAsia" w:cstheme="minorEastAsia"/>
                <w:b w:val="0"/>
                <w:bCs w:val="0"/>
                <w:snapToGrid w:val="0"/>
                <w:color w:val="000000"/>
                <w:spacing w:val="7"/>
                <w:kern w:val="0"/>
                <w:sz w:val="28"/>
                <w:szCs w:val="28"/>
                <w:lang w:val="en-US" w:eastAsia="zh-CN" w:bidi="ar-SA"/>
              </w:rPr>
            </w:pPr>
            <w:r>
              <w:rPr>
                <w:rFonts w:hint="eastAsia" w:asciiTheme="minorEastAsia" w:hAnsiTheme="minorEastAsia" w:eastAsiaTheme="minorEastAsia" w:cstheme="minorEastAsia"/>
                <w:b w:val="0"/>
                <w:bCs w:val="0"/>
                <w:snapToGrid w:val="0"/>
                <w:color w:val="000000"/>
                <w:spacing w:val="7"/>
                <w:kern w:val="0"/>
                <w:sz w:val="28"/>
                <w:szCs w:val="28"/>
                <w:lang w:val="en-US" w:eastAsia="zh-CN" w:bidi="ar-SA"/>
              </w:rPr>
              <w:t>序号</w:t>
            </w:r>
          </w:p>
        </w:tc>
        <w:tc>
          <w:tcPr>
            <w:tcW w:w="2671" w:type="dxa"/>
            <w:vAlign w:val="center"/>
          </w:tcPr>
          <w:p w14:paraId="1DDEB63D">
            <w:pPr>
              <w:pStyle w:val="9"/>
              <w:widowControl w:val="0"/>
              <w:spacing w:before="65" w:line="228" w:lineRule="auto"/>
              <w:jc w:val="center"/>
              <w:rPr>
                <w:rFonts w:hint="eastAsia" w:asciiTheme="minorEastAsia" w:hAnsiTheme="minorEastAsia" w:eastAsiaTheme="minorEastAsia" w:cstheme="minorEastAsia"/>
                <w:b w:val="0"/>
                <w:bCs w:val="0"/>
                <w:snapToGrid w:val="0"/>
                <w:color w:val="000000"/>
                <w:spacing w:val="7"/>
                <w:kern w:val="0"/>
                <w:sz w:val="28"/>
                <w:szCs w:val="28"/>
                <w:lang w:val="en-US" w:eastAsia="zh-CN" w:bidi="ar-SA"/>
              </w:rPr>
            </w:pPr>
            <w:r>
              <w:rPr>
                <w:rFonts w:hint="eastAsia" w:asciiTheme="minorEastAsia" w:hAnsiTheme="minorEastAsia" w:eastAsiaTheme="minorEastAsia" w:cstheme="minorEastAsia"/>
                <w:b w:val="0"/>
                <w:bCs w:val="0"/>
                <w:spacing w:val="7"/>
                <w:sz w:val="28"/>
                <w:szCs w:val="28"/>
              </w:rPr>
              <w:t>检验项目</w:t>
            </w:r>
          </w:p>
        </w:tc>
        <w:tc>
          <w:tcPr>
            <w:tcW w:w="4125" w:type="dxa"/>
            <w:vAlign w:val="center"/>
          </w:tcPr>
          <w:p w14:paraId="62192026">
            <w:pPr>
              <w:pStyle w:val="9"/>
              <w:widowControl w:val="0"/>
              <w:spacing w:before="65" w:line="228" w:lineRule="auto"/>
              <w:jc w:val="center"/>
              <w:rPr>
                <w:rFonts w:hint="eastAsia" w:asciiTheme="minorEastAsia" w:hAnsiTheme="minorEastAsia" w:eastAsiaTheme="minorEastAsia" w:cstheme="minorEastAsia"/>
                <w:b w:val="0"/>
                <w:bCs w:val="0"/>
                <w:snapToGrid w:val="0"/>
                <w:color w:val="000000"/>
                <w:spacing w:val="7"/>
                <w:kern w:val="0"/>
                <w:sz w:val="28"/>
                <w:szCs w:val="28"/>
                <w:lang w:val="en-US" w:eastAsia="zh-CN" w:bidi="ar-SA"/>
              </w:rPr>
            </w:pPr>
            <w:r>
              <w:rPr>
                <w:rFonts w:hint="eastAsia" w:asciiTheme="minorEastAsia" w:hAnsiTheme="minorEastAsia" w:eastAsiaTheme="minorEastAsia" w:cstheme="minorEastAsia"/>
                <w:b w:val="0"/>
                <w:bCs w:val="0"/>
                <w:spacing w:val="7"/>
                <w:sz w:val="28"/>
                <w:szCs w:val="28"/>
              </w:rPr>
              <w:t>检验方法</w:t>
            </w:r>
          </w:p>
        </w:tc>
      </w:tr>
      <w:tr w14:paraId="77851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640" w:type="dxa"/>
            <w:vAlign w:val="center"/>
          </w:tcPr>
          <w:p w14:paraId="69F9BF4C">
            <w:pPr>
              <w:pStyle w:val="9"/>
              <w:widowControl w:val="0"/>
              <w:spacing w:before="65" w:line="228" w:lineRule="auto"/>
              <w:jc w:val="center"/>
              <w:rPr>
                <w:rFonts w:hint="default"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1</w:t>
            </w:r>
          </w:p>
        </w:tc>
        <w:tc>
          <w:tcPr>
            <w:tcW w:w="2671" w:type="dxa"/>
            <w:vAlign w:val="center"/>
          </w:tcPr>
          <w:p w14:paraId="4779B6D8">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尺寸和允许偏差</w:t>
            </w:r>
          </w:p>
        </w:tc>
        <w:tc>
          <w:tcPr>
            <w:tcW w:w="4125" w:type="dxa"/>
            <w:vAlign w:val="center"/>
          </w:tcPr>
          <w:p w14:paraId="090CBDB9">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GB 15763.3</w:t>
            </w:r>
          </w:p>
        </w:tc>
      </w:tr>
      <w:tr w14:paraId="720B2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640" w:type="dxa"/>
            <w:vAlign w:val="center"/>
          </w:tcPr>
          <w:p w14:paraId="2B9EF1EC">
            <w:pPr>
              <w:pStyle w:val="9"/>
              <w:widowControl w:val="0"/>
              <w:spacing w:before="65" w:line="228" w:lineRule="auto"/>
              <w:jc w:val="center"/>
              <w:rPr>
                <w:rFonts w:hint="default"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2</w:t>
            </w:r>
          </w:p>
        </w:tc>
        <w:tc>
          <w:tcPr>
            <w:tcW w:w="2671" w:type="dxa"/>
            <w:vAlign w:val="center"/>
          </w:tcPr>
          <w:p w14:paraId="41537AD9">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弯曲度</w:t>
            </w:r>
          </w:p>
        </w:tc>
        <w:tc>
          <w:tcPr>
            <w:tcW w:w="4125" w:type="dxa"/>
            <w:vAlign w:val="center"/>
          </w:tcPr>
          <w:p w14:paraId="34C9A145">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GB 15763.2</w:t>
            </w:r>
          </w:p>
        </w:tc>
      </w:tr>
      <w:tr w14:paraId="2AA60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640" w:type="dxa"/>
            <w:vAlign w:val="center"/>
          </w:tcPr>
          <w:p w14:paraId="3D2A3EE5">
            <w:pPr>
              <w:pStyle w:val="9"/>
              <w:widowControl w:val="0"/>
              <w:spacing w:before="65" w:line="228" w:lineRule="auto"/>
              <w:jc w:val="center"/>
              <w:rPr>
                <w:rFonts w:hint="default"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3</w:t>
            </w:r>
          </w:p>
        </w:tc>
        <w:tc>
          <w:tcPr>
            <w:tcW w:w="2671" w:type="dxa"/>
            <w:vAlign w:val="center"/>
          </w:tcPr>
          <w:p w14:paraId="2B4E73D4">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耐热性</w:t>
            </w:r>
          </w:p>
        </w:tc>
        <w:tc>
          <w:tcPr>
            <w:tcW w:w="4125" w:type="dxa"/>
            <w:vAlign w:val="center"/>
          </w:tcPr>
          <w:p w14:paraId="3C253509">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GB 15763.3</w:t>
            </w:r>
          </w:p>
        </w:tc>
      </w:tr>
      <w:tr w14:paraId="755BD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640" w:type="dxa"/>
            <w:vAlign w:val="center"/>
          </w:tcPr>
          <w:p w14:paraId="02BA3FA1">
            <w:pPr>
              <w:pStyle w:val="9"/>
              <w:widowControl w:val="0"/>
              <w:spacing w:before="65" w:line="228" w:lineRule="auto"/>
              <w:jc w:val="center"/>
              <w:rPr>
                <w:rFonts w:hint="default"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4</w:t>
            </w:r>
            <w:bookmarkStart w:id="0" w:name="_GoBack"/>
            <w:bookmarkEnd w:id="0"/>
          </w:p>
        </w:tc>
        <w:tc>
          <w:tcPr>
            <w:tcW w:w="2671" w:type="dxa"/>
            <w:vAlign w:val="center"/>
          </w:tcPr>
          <w:p w14:paraId="240EA6D2">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耐湿性</w:t>
            </w:r>
          </w:p>
        </w:tc>
        <w:tc>
          <w:tcPr>
            <w:tcW w:w="4125" w:type="dxa"/>
            <w:vAlign w:val="center"/>
          </w:tcPr>
          <w:p w14:paraId="71D8BEB1">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GB/T 5137.3</w:t>
            </w:r>
          </w:p>
        </w:tc>
      </w:tr>
    </w:tbl>
    <w:p w14:paraId="047E4870">
      <w:pPr>
        <w:pStyle w:val="3"/>
        <w:spacing w:before="65" w:line="228" w:lineRule="auto"/>
        <w:ind w:left="24"/>
        <w:outlineLvl w:val="1"/>
        <w:rPr>
          <w:rFonts w:hint="eastAsia" w:asciiTheme="minorEastAsia" w:hAnsiTheme="minorEastAsia" w:eastAsiaTheme="minorEastAsia" w:cstheme="minorEastAsia"/>
          <w:b w:val="0"/>
          <w:bCs w:val="0"/>
          <w:spacing w:val="6"/>
          <w:sz w:val="28"/>
          <w:szCs w:val="28"/>
        </w:rPr>
      </w:pPr>
    </w:p>
    <w:p w14:paraId="0C6D08F1">
      <w:pPr>
        <w:pStyle w:val="3"/>
        <w:spacing w:before="30" w:line="418" w:lineRule="auto"/>
        <w:ind w:right="15" w:firstLine="588" w:firstLineChars="200"/>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注：执行企业标准、团体标准、地方标准的产品，检验项目参照上述内容执行。</w:t>
      </w:r>
    </w:p>
    <w:p w14:paraId="0AAF1636">
      <w:pPr>
        <w:pStyle w:val="3"/>
        <w:spacing w:before="30" w:line="418" w:lineRule="auto"/>
        <w:ind w:left="23" w:right="15" w:firstLine="417"/>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凡是注日期的文件，其随后所有的修改单（不包括勘误的内容）或修订版不适用于本细 则。凡是不注日期的文件，其最新版本适用于本细则。</w:t>
      </w:r>
    </w:p>
    <w:p w14:paraId="30AF90CA">
      <w:pPr>
        <w:pStyle w:val="3"/>
        <w:spacing w:before="30" w:line="418" w:lineRule="auto"/>
        <w:ind w:right="15"/>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3 判定规则</w:t>
      </w:r>
    </w:p>
    <w:p w14:paraId="2F773324">
      <w:pPr>
        <w:pStyle w:val="3"/>
        <w:spacing w:before="30" w:line="418" w:lineRule="auto"/>
        <w:ind w:right="15"/>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3.1 标准依据</w:t>
      </w:r>
    </w:p>
    <w:p w14:paraId="3FD6EA98">
      <w:pPr>
        <w:pStyle w:val="3"/>
        <w:spacing w:before="30" w:line="418" w:lineRule="auto"/>
        <w:ind w:left="23" w:right="15" w:firstLine="417"/>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GB 15763.3</w:t>
      </w:r>
      <w:r>
        <w:rPr>
          <w:rFonts w:hint="eastAsia" w:asciiTheme="minorEastAsia" w:hAnsiTheme="minorEastAsia" w:eastAsiaTheme="minorEastAsia" w:cstheme="minorEastAsia"/>
          <w:b w:val="0"/>
          <w:bCs w:val="0"/>
          <w:spacing w:val="7"/>
          <w:sz w:val="28"/>
          <w:szCs w:val="28"/>
          <w:lang w:val="en-US" w:eastAsia="zh-CN"/>
        </w:rPr>
        <w:t xml:space="preserve"> </w:t>
      </w:r>
      <w:r>
        <w:rPr>
          <w:rFonts w:hint="eastAsia" w:asciiTheme="minorEastAsia" w:hAnsiTheme="minorEastAsia" w:eastAsiaTheme="minorEastAsia" w:cstheme="minorEastAsia"/>
          <w:b w:val="0"/>
          <w:bCs w:val="0"/>
          <w:spacing w:val="7"/>
          <w:sz w:val="28"/>
          <w:szCs w:val="28"/>
        </w:rPr>
        <w:t>建筑用安全玻璃 第3部分：夹层玻璃</w:t>
      </w:r>
    </w:p>
    <w:p w14:paraId="690F103F">
      <w:pPr>
        <w:pStyle w:val="3"/>
        <w:spacing w:before="30" w:line="418" w:lineRule="auto"/>
        <w:ind w:left="23" w:right="15" w:firstLine="417"/>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相关的法律、行政法规、部门规章、规范性文件</w:t>
      </w:r>
    </w:p>
    <w:p w14:paraId="340491BA">
      <w:pPr>
        <w:pStyle w:val="3"/>
        <w:spacing w:before="30" w:line="418" w:lineRule="auto"/>
        <w:ind w:left="23" w:right="15" w:firstLine="417"/>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 xml:space="preserve">现行有效的企业标准、团体标准、地方标准及产品明示质量要求 </w:t>
      </w:r>
    </w:p>
    <w:p w14:paraId="282DAA02">
      <w:pPr>
        <w:pStyle w:val="3"/>
        <w:spacing w:before="30" w:line="418" w:lineRule="auto"/>
        <w:ind w:right="15"/>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3.2 判定原则</w:t>
      </w:r>
    </w:p>
    <w:p w14:paraId="542FD22E">
      <w:pPr>
        <w:pStyle w:val="3"/>
        <w:spacing w:before="30" w:line="418" w:lineRule="auto"/>
        <w:ind w:left="23" w:right="15" w:firstLine="417"/>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经检验，检验项目全部合格，判定为被抽查产品所检项目未发现不合格；检验项目中任一项或一项以上不合格，判定为被抽查产品不合格。</w:t>
      </w:r>
    </w:p>
    <w:p w14:paraId="481017B0">
      <w:pPr>
        <w:pStyle w:val="3"/>
        <w:spacing w:before="31" w:line="418" w:lineRule="auto"/>
        <w:ind w:left="23" w:right="15" w:firstLine="417"/>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若被检产品明示的质量要求高于本细则中检验项目依据的标准要求时，应按被检产品明示的质量要求判定。</w:t>
      </w:r>
    </w:p>
    <w:p w14:paraId="1E7FD52E">
      <w:pPr>
        <w:pStyle w:val="3"/>
        <w:spacing w:before="30" w:line="418" w:lineRule="auto"/>
        <w:ind w:left="23" w:right="15" w:firstLine="417"/>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若被检产品明示的质量要求低于本细则中检验项目依据的强制性标准要求时，应按照强制性标准要求判定。</w:t>
      </w:r>
    </w:p>
    <w:p w14:paraId="6ABDD238">
      <w:pPr>
        <w:pStyle w:val="3"/>
        <w:spacing w:before="30" w:line="417" w:lineRule="auto"/>
        <w:ind w:left="45" w:right="15" w:firstLine="394"/>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若被检产品明示的质量要求低于或包含本细则中检验项目依据的推荐性标准要求时，应</w:t>
      </w:r>
      <w:r>
        <w:rPr>
          <w:rFonts w:hint="eastAsia" w:asciiTheme="minorEastAsia" w:hAnsiTheme="minorEastAsia" w:eastAsiaTheme="minorEastAsia" w:cstheme="minorEastAsia"/>
          <w:b w:val="0"/>
          <w:bCs w:val="0"/>
          <w:spacing w:val="8"/>
          <w:sz w:val="28"/>
          <w:szCs w:val="28"/>
        </w:rPr>
        <w:t>以被检产品明示的质量要求判定，但应在检验报告备注中进行说明。</w:t>
      </w:r>
    </w:p>
    <w:p w14:paraId="38CD853E">
      <w:pPr>
        <w:pStyle w:val="3"/>
        <w:spacing w:before="32" w:line="418" w:lineRule="auto"/>
        <w:ind w:left="23" w:right="15" w:firstLine="417"/>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若被检产品明示的质量要求缺少本细则中检验项目依据的强制性标准要求时，应按照强制性标准要求判定。</w:t>
      </w:r>
    </w:p>
    <w:p w14:paraId="6360B97D">
      <w:pPr>
        <w:pStyle w:val="3"/>
        <w:spacing w:before="30" w:line="417" w:lineRule="auto"/>
        <w:ind w:left="23" w:right="15" w:firstLine="416"/>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若被检产品明示的质量要求缺少本细则中检验项目依据的推荐性标准要求时，该项目不</w:t>
      </w:r>
      <w:r>
        <w:rPr>
          <w:rFonts w:hint="eastAsia" w:asciiTheme="minorEastAsia" w:hAnsiTheme="minorEastAsia" w:eastAsiaTheme="minorEastAsia" w:cstheme="minorEastAsia"/>
          <w:b w:val="0"/>
          <w:bCs w:val="0"/>
          <w:spacing w:val="8"/>
          <w:sz w:val="28"/>
          <w:szCs w:val="28"/>
        </w:rPr>
        <w:t>参与判定，但应在检验报告备注中进行说明。</w:t>
      </w:r>
    </w:p>
    <w:p w14:paraId="11EEC6C0">
      <w:pPr>
        <w:pStyle w:val="3"/>
        <w:spacing w:before="33" w:line="228" w:lineRule="auto"/>
        <w:ind w:left="21"/>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3"/>
          <w:sz w:val="28"/>
          <w:szCs w:val="28"/>
        </w:rPr>
        <w:t>4</w:t>
      </w:r>
      <w:r>
        <w:rPr>
          <w:rFonts w:hint="eastAsia" w:asciiTheme="minorEastAsia" w:hAnsiTheme="minorEastAsia" w:eastAsiaTheme="minorEastAsia" w:cstheme="minorEastAsia"/>
          <w:b w:val="0"/>
          <w:bCs w:val="0"/>
          <w:spacing w:val="-33"/>
          <w:sz w:val="28"/>
          <w:szCs w:val="28"/>
        </w:rPr>
        <w:t xml:space="preserve"> </w:t>
      </w:r>
      <w:r>
        <w:rPr>
          <w:rFonts w:hint="eastAsia" w:asciiTheme="minorEastAsia" w:hAnsiTheme="minorEastAsia" w:eastAsiaTheme="minorEastAsia" w:cstheme="minorEastAsia"/>
          <w:b w:val="0"/>
          <w:bCs w:val="0"/>
          <w:spacing w:val="3"/>
          <w:sz w:val="28"/>
          <w:szCs w:val="28"/>
        </w:rPr>
        <w:t>异议复检</w:t>
      </w:r>
    </w:p>
    <w:p w14:paraId="6DEC5BF5">
      <w:pPr>
        <w:pStyle w:val="3"/>
        <w:spacing w:before="222" w:line="227" w:lineRule="auto"/>
        <w:ind w:left="443"/>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9"/>
          <w:sz w:val="28"/>
          <w:szCs w:val="28"/>
        </w:rPr>
        <w:t>本细则中确定的全部检验项目，采用备用样品进行复检。</w:t>
      </w:r>
    </w:p>
    <w:sectPr>
      <w:footerReference r:id="rId5" w:type="default"/>
      <w:pgSz w:w="11906" w:h="16839"/>
      <w:pgMar w:top="1440" w:right="1083" w:bottom="1440" w:left="1083" w:header="0" w:footer="1006"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D13FC">
    <w:pPr>
      <w:spacing w:line="176" w:lineRule="auto"/>
      <w:ind w:left="4126"/>
      <w:rPr>
        <w:rFonts w:ascii="Times New Roman" w:hAnsi="Times New Roman" w:eastAsia="Times New Roman" w:cs="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YjNjOWJjZWRlNDJjM2M1M2M2MDEzY2Y5NzZiODM0N2MifQ=="/>
  </w:docVars>
  <w:rsids>
    <w:rsidRoot w:val="00000000"/>
    <w:rsid w:val="009224FE"/>
    <w:rsid w:val="01115B19"/>
    <w:rsid w:val="012324EC"/>
    <w:rsid w:val="02056D00"/>
    <w:rsid w:val="029D518A"/>
    <w:rsid w:val="034B2A33"/>
    <w:rsid w:val="03BE1924"/>
    <w:rsid w:val="03E0050C"/>
    <w:rsid w:val="03F51722"/>
    <w:rsid w:val="03FE7EAB"/>
    <w:rsid w:val="053C0C8A"/>
    <w:rsid w:val="05A50F26"/>
    <w:rsid w:val="06CC603E"/>
    <w:rsid w:val="07B94814"/>
    <w:rsid w:val="08057A5A"/>
    <w:rsid w:val="09542264"/>
    <w:rsid w:val="0A6749FB"/>
    <w:rsid w:val="0AAC240E"/>
    <w:rsid w:val="0B2822B8"/>
    <w:rsid w:val="0B811AED"/>
    <w:rsid w:val="0CC9374C"/>
    <w:rsid w:val="0D1E522A"/>
    <w:rsid w:val="0D8B0A01"/>
    <w:rsid w:val="0D907DC5"/>
    <w:rsid w:val="0DDA3736"/>
    <w:rsid w:val="0E305202"/>
    <w:rsid w:val="0EB43F87"/>
    <w:rsid w:val="0EE859DF"/>
    <w:rsid w:val="0FE443F8"/>
    <w:rsid w:val="113D64B6"/>
    <w:rsid w:val="115E01DA"/>
    <w:rsid w:val="11D02E86"/>
    <w:rsid w:val="12617F82"/>
    <w:rsid w:val="14FE5F5C"/>
    <w:rsid w:val="153E45AB"/>
    <w:rsid w:val="166B13D0"/>
    <w:rsid w:val="168F6536"/>
    <w:rsid w:val="16C86822"/>
    <w:rsid w:val="172A4DE7"/>
    <w:rsid w:val="18846779"/>
    <w:rsid w:val="1912647A"/>
    <w:rsid w:val="19940C3D"/>
    <w:rsid w:val="19D454DE"/>
    <w:rsid w:val="1AD27C6F"/>
    <w:rsid w:val="1DC305F1"/>
    <w:rsid w:val="1DDE692B"/>
    <w:rsid w:val="1E0D7210"/>
    <w:rsid w:val="1E110AAE"/>
    <w:rsid w:val="1E5E181A"/>
    <w:rsid w:val="1EFD1033"/>
    <w:rsid w:val="1F356A1F"/>
    <w:rsid w:val="1F8009E4"/>
    <w:rsid w:val="20A21E92"/>
    <w:rsid w:val="211E7310"/>
    <w:rsid w:val="21311468"/>
    <w:rsid w:val="21B53E47"/>
    <w:rsid w:val="2487673F"/>
    <w:rsid w:val="25473008"/>
    <w:rsid w:val="26655E3B"/>
    <w:rsid w:val="278F0C96"/>
    <w:rsid w:val="297168A5"/>
    <w:rsid w:val="2A477A6C"/>
    <w:rsid w:val="2A75037D"/>
    <w:rsid w:val="2AA5035A"/>
    <w:rsid w:val="2AAA4765"/>
    <w:rsid w:val="2C6B0375"/>
    <w:rsid w:val="2D4349FC"/>
    <w:rsid w:val="2D60110A"/>
    <w:rsid w:val="2DD35D80"/>
    <w:rsid w:val="2E3305CD"/>
    <w:rsid w:val="2F10090E"/>
    <w:rsid w:val="2F4D3910"/>
    <w:rsid w:val="329B2BE5"/>
    <w:rsid w:val="32E225C2"/>
    <w:rsid w:val="34030A42"/>
    <w:rsid w:val="34E02B31"/>
    <w:rsid w:val="34FD36E3"/>
    <w:rsid w:val="35887450"/>
    <w:rsid w:val="36B424C7"/>
    <w:rsid w:val="37054AD1"/>
    <w:rsid w:val="39CC2CC8"/>
    <w:rsid w:val="39D013C6"/>
    <w:rsid w:val="3B516536"/>
    <w:rsid w:val="3CC571DC"/>
    <w:rsid w:val="3D1141CF"/>
    <w:rsid w:val="3E467EA9"/>
    <w:rsid w:val="3E7569E0"/>
    <w:rsid w:val="3F012022"/>
    <w:rsid w:val="408E5B37"/>
    <w:rsid w:val="40A451F7"/>
    <w:rsid w:val="40CB28E7"/>
    <w:rsid w:val="416925F4"/>
    <w:rsid w:val="42DD6902"/>
    <w:rsid w:val="47213261"/>
    <w:rsid w:val="473A07C7"/>
    <w:rsid w:val="4803505C"/>
    <w:rsid w:val="48783354"/>
    <w:rsid w:val="4A2D016F"/>
    <w:rsid w:val="4A722025"/>
    <w:rsid w:val="4BB87F0C"/>
    <w:rsid w:val="4BD72A88"/>
    <w:rsid w:val="4C4F0870"/>
    <w:rsid w:val="4C5C4D3B"/>
    <w:rsid w:val="4D16313C"/>
    <w:rsid w:val="4D5A127B"/>
    <w:rsid w:val="4E005816"/>
    <w:rsid w:val="4E481A1B"/>
    <w:rsid w:val="4EEF00E8"/>
    <w:rsid w:val="4F87351A"/>
    <w:rsid w:val="508D1967"/>
    <w:rsid w:val="50DB6B76"/>
    <w:rsid w:val="51C413B8"/>
    <w:rsid w:val="52C06024"/>
    <w:rsid w:val="53AF7E46"/>
    <w:rsid w:val="53B536AF"/>
    <w:rsid w:val="546724CF"/>
    <w:rsid w:val="54D47B64"/>
    <w:rsid w:val="54DB6D3C"/>
    <w:rsid w:val="550A17D8"/>
    <w:rsid w:val="554F7B33"/>
    <w:rsid w:val="56312D95"/>
    <w:rsid w:val="57462870"/>
    <w:rsid w:val="578F4217"/>
    <w:rsid w:val="57E04A72"/>
    <w:rsid w:val="584E7C2E"/>
    <w:rsid w:val="58A91308"/>
    <w:rsid w:val="58AE691E"/>
    <w:rsid w:val="594D6137"/>
    <w:rsid w:val="5C1B251D"/>
    <w:rsid w:val="5C4C26D6"/>
    <w:rsid w:val="5DB37456"/>
    <w:rsid w:val="5DEC23C3"/>
    <w:rsid w:val="5DF179D9"/>
    <w:rsid w:val="5E8C7702"/>
    <w:rsid w:val="5F1D3030"/>
    <w:rsid w:val="5F6D12E1"/>
    <w:rsid w:val="5FB54A36"/>
    <w:rsid w:val="5FF90DC7"/>
    <w:rsid w:val="604638E0"/>
    <w:rsid w:val="60C43183"/>
    <w:rsid w:val="610B02B4"/>
    <w:rsid w:val="61A94127"/>
    <w:rsid w:val="62683FE2"/>
    <w:rsid w:val="634E6C43"/>
    <w:rsid w:val="637013A0"/>
    <w:rsid w:val="637F3391"/>
    <w:rsid w:val="63A31776"/>
    <w:rsid w:val="640970FF"/>
    <w:rsid w:val="64D15E6F"/>
    <w:rsid w:val="65A13A93"/>
    <w:rsid w:val="6646463A"/>
    <w:rsid w:val="66A23F66"/>
    <w:rsid w:val="692844CB"/>
    <w:rsid w:val="692B64B7"/>
    <w:rsid w:val="69B33D95"/>
    <w:rsid w:val="6A845731"/>
    <w:rsid w:val="6A9A6D03"/>
    <w:rsid w:val="6ACB3360"/>
    <w:rsid w:val="6B0C030D"/>
    <w:rsid w:val="6B8579B3"/>
    <w:rsid w:val="6CC14A1B"/>
    <w:rsid w:val="6D0D5EB2"/>
    <w:rsid w:val="6D943EDD"/>
    <w:rsid w:val="6EDA1DC4"/>
    <w:rsid w:val="6FB66B3B"/>
    <w:rsid w:val="70BF3967"/>
    <w:rsid w:val="70D03749"/>
    <w:rsid w:val="70E62CA2"/>
    <w:rsid w:val="73BC39C2"/>
    <w:rsid w:val="754E0E15"/>
    <w:rsid w:val="75947170"/>
    <w:rsid w:val="766A63BC"/>
    <w:rsid w:val="79E5793E"/>
    <w:rsid w:val="7C8403FB"/>
    <w:rsid w:val="7CB41EA6"/>
    <w:rsid w:val="7D3A3F11"/>
    <w:rsid w:val="7FA67B3E"/>
    <w:rsid w:val="7FC7014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列出段落12"/>
    <w:basedOn w:val="1"/>
    <w:qFormat/>
    <w:uiPriority w:val="0"/>
    <w:pPr>
      <w:ind w:firstLine="420" w:firstLineChars="200"/>
    </w:pPr>
    <w:rPr>
      <w:rFonts w:ascii="Calibri" w:hAnsi="Calibri"/>
      <w:szCs w:val="22"/>
    </w:rPr>
  </w:style>
  <w:style w:type="paragraph" w:styleId="3">
    <w:name w:val="Body Text"/>
    <w:basedOn w:val="1"/>
    <w:semiHidden/>
    <w:qFormat/>
    <w:uiPriority w:val="0"/>
    <w:rPr>
      <w:rFonts w:ascii="宋体" w:hAnsi="宋体" w:eastAsia="宋体" w:cs="宋体"/>
      <w:sz w:val="20"/>
      <w:szCs w:val="20"/>
      <w:lang w:val="en-US" w:eastAsia="en-US" w:bidi="ar-SA"/>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939</Words>
  <Characters>1053</Characters>
  <TotalTime>27</TotalTime>
  <ScaleCrop>false</ScaleCrop>
  <LinksUpToDate>false</LinksUpToDate>
  <CharactersWithSpaces>1143</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zyzx</dc:creator>
  <cp:lastModifiedBy>WPS_1668144300</cp:lastModifiedBy>
  <dcterms:modified xsi:type="dcterms:W3CDTF">2026-03-16T06:30:46Z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2024-06-17T09:13:57Z</vt:filetime>
  </property>
  <property fmtid="{D5CDD505-2E9C-101B-9397-08002B2CF9AE}" pid="4" name="KSOProductBuildVer">
    <vt:lpwstr>2052-12.1.0.25225</vt:lpwstr>
  </property>
  <property fmtid="{D5CDD505-2E9C-101B-9397-08002B2CF9AE}" pid="5" name="ICV">
    <vt:lpwstr>CB1A000A19E94CB19A490C6F8784B562_13</vt:lpwstr>
  </property>
  <property fmtid="{D5CDD505-2E9C-101B-9397-08002B2CF9AE}" pid="6" name="KSOTemplateDocerSaveRecord">
    <vt:lpwstr>eyJoZGlkIjoiMTM4ZjkzMzM0OTA4ZjNkYTAwN2QxMmQ2OTk5MWJhZjYiLCJ1c2VySWQiOiIxNDM0NDI0OTM0In0=</vt:lpwstr>
  </property>
</Properties>
</file>