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A701B">
      <w:pPr>
        <w:pStyle w:val="2"/>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rPr>
        <w:t>水泥产品质量监督抽查实施细则</w:t>
      </w:r>
    </w:p>
    <w:p w14:paraId="69164967">
      <w:pPr>
        <w:pStyle w:val="2"/>
        <w:spacing w:before="25" w:line="228" w:lineRule="auto"/>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45B0B96B">
      <w:pPr>
        <w:pStyle w:val="2"/>
        <w:spacing w:before="163" w:line="228" w:lineRule="auto"/>
        <w:ind w:left="3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2"/>
          <w:sz w:val="28"/>
          <w:szCs w:val="28"/>
        </w:rPr>
        <w:t>1.1</w:t>
      </w:r>
      <w:r>
        <w:rPr>
          <w:rFonts w:hint="eastAsia" w:asciiTheme="minorEastAsia" w:hAnsiTheme="minorEastAsia" w:eastAsiaTheme="minorEastAsia" w:cstheme="minorEastAsia"/>
          <w:b w:val="0"/>
          <w:bCs w:val="0"/>
          <w:spacing w:val="-36"/>
          <w:sz w:val="28"/>
          <w:szCs w:val="28"/>
        </w:rPr>
        <w:t xml:space="preserve"> </w:t>
      </w:r>
      <w:r>
        <w:rPr>
          <w:rFonts w:hint="eastAsia" w:asciiTheme="minorEastAsia" w:hAnsiTheme="minorEastAsia" w:eastAsiaTheme="minorEastAsia" w:cstheme="minorEastAsia"/>
          <w:b w:val="0"/>
          <w:bCs w:val="0"/>
          <w:spacing w:val="2"/>
          <w:sz w:val="28"/>
          <w:szCs w:val="28"/>
        </w:rPr>
        <w:t>抽样方法：</w:t>
      </w:r>
    </w:p>
    <w:p w14:paraId="7DA0F228">
      <w:pPr>
        <w:pStyle w:val="2"/>
        <w:keepNext w:val="0"/>
        <w:keepLines w:val="0"/>
        <w:pageBreakBefore w:val="0"/>
        <w:widowControl/>
        <w:kinsoku w:val="0"/>
        <w:wordWrap/>
        <w:overflowPunct/>
        <w:topLinePunct w:val="0"/>
        <w:autoSpaceDE w:val="0"/>
        <w:autoSpaceDN w:val="0"/>
        <w:bidi w:val="0"/>
        <w:adjustRightInd w:val="0"/>
        <w:snapToGrid w:val="0"/>
        <w:spacing w:before="145" w:line="351" w:lineRule="auto"/>
        <w:ind w:right="0" w:firstLine="588" w:firstLineChars="200"/>
        <w:textAlignment w:val="baseline"/>
        <w:rPr>
          <w:rFonts w:hint="eastAsia" w:asciiTheme="minorEastAsia" w:hAnsiTheme="minorEastAsia" w:eastAsiaTheme="minorEastAsia" w:cstheme="minorEastAsia"/>
          <w:b w:val="0"/>
          <w:bCs w:val="0"/>
          <w:spacing w:val="12"/>
          <w:sz w:val="28"/>
          <w:szCs w:val="28"/>
        </w:rPr>
      </w:pPr>
      <w:r>
        <w:rPr>
          <w:rFonts w:hint="eastAsia" w:asciiTheme="minorEastAsia" w:hAnsiTheme="minorEastAsia" w:eastAsiaTheme="minorEastAsia" w:cstheme="minorEastAsia"/>
          <w:b w:val="0"/>
          <w:bCs w:val="0"/>
          <w:spacing w:val="7"/>
          <w:sz w:val="28"/>
          <w:szCs w:val="28"/>
        </w:rPr>
        <w:t>以随机抽样的方式在水泥生产者、销售者的待销产品中抽取。</w:t>
      </w:r>
      <w:r>
        <w:rPr>
          <w:rFonts w:hint="eastAsia" w:asciiTheme="minorEastAsia" w:hAnsiTheme="minorEastAsia" w:eastAsiaTheme="minorEastAsia" w:cstheme="minorEastAsia"/>
          <w:b w:val="0"/>
          <w:bCs w:val="0"/>
          <w:spacing w:val="12"/>
          <w:sz w:val="28"/>
          <w:szCs w:val="28"/>
        </w:rPr>
        <w:t xml:space="preserve"> </w:t>
      </w:r>
    </w:p>
    <w:p w14:paraId="504FE01E">
      <w:pPr>
        <w:pStyle w:val="2"/>
        <w:keepNext w:val="0"/>
        <w:keepLines w:val="0"/>
        <w:pageBreakBefore w:val="0"/>
        <w:widowControl/>
        <w:kinsoku w:val="0"/>
        <w:wordWrap/>
        <w:overflowPunct/>
        <w:topLinePunct w:val="0"/>
        <w:autoSpaceDE w:val="0"/>
        <w:autoSpaceDN w:val="0"/>
        <w:bidi w:val="0"/>
        <w:adjustRightInd w:val="0"/>
        <w:snapToGrid w:val="0"/>
        <w:spacing w:before="145" w:line="351" w:lineRule="auto"/>
        <w:ind w:right="0" w:firstLine="592"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随机数一般可使用随机数表等方法产生。</w:t>
      </w:r>
    </w:p>
    <w:p w14:paraId="30EF1C3C">
      <w:pPr>
        <w:pStyle w:val="2"/>
        <w:spacing w:before="30" w:line="228" w:lineRule="auto"/>
        <w:ind w:firstLine="596"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抽取样品应为同一批次、同一品种和强度等级的水泥产品。</w:t>
      </w:r>
    </w:p>
    <w:p w14:paraId="0F9A7F44">
      <w:pPr>
        <w:pStyle w:val="2"/>
        <w:spacing w:before="148" w:line="367" w:lineRule="auto"/>
        <w:ind w:right="54" w:firstLine="588"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在生产者处抽取样品时，应在水泥仓库或水泥包装线末端中随机抽取。在从袋装水泥中</w:t>
      </w:r>
      <w:r>
        <w:rPr>
          <w:rFonts w:hint="eastAsia" w:asciiTheme="minorEastAsia" w:hAnsiTheme="minorEastAsia" w:eastAsiaTheme="minorEastAsia" w:cstheme="minorEastAsia"/>
          <w:b w:val="0"/>
          <w:bCs w:val="0"/>
          <w:spacing w:val="9"/>
          <w:sz w:val="28"/>
          <w:szCs w:val="28"/>
        </w:rPr>
        <w:t>抽取时，以多点取样的方式取样，取样点不少于20个，每个点取等量样品；在从散装水泥中抽取时，在散装库卸料处或水泥运输机上取样。</w:t>
      </w:r>
    </w:p>
    <w:p w14:paraId="0EA003FB">
      <w:pPr>
        <w:pStyle w:val="2"/>
        <w:spacing w:before="35" w:line="362" w:lineRule="auto"/>
        <w:ind w:firstLine="568"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2"/>
          <w:sz w:val="28"/>
          <w:szCs w:val="28"/>
        </w:rPr>
        <w:t>在销售者的待销产品中取样时，随机从现场抽取1-2</w:t>
      </w:r>
      <w:r>
        <w:rPr>
          <w:rFonts w:hint="eastAsia" w:asciiTheme="minorEastAsia" w:hAnsiTheme="minorEastAsia" w:eastAsiaTheme="minorEastAsia" w:cstheme="minorEastAsia"/>
          <w:b w:val="0"/>
          <w:bCs w:val="0"/>
          <w:spacing w:val="-40"/>
          <w:sz w:val="28"/>
          <w:szCs w:val="28"/>
        </w:rPr>
        <w:t xml:space="preserve"> </w:t>
      </w:r>
      <w:r>
        <w:rPr>
          <w:rFonts w:hint="eastAsia" w:asciiTheme="minorEastAsia" w:hAnsiTheme="minorEastAsia" w:eastAsiaTheme="minorEastAsia" w:cstheme="minorEastAsia"/>
          <w:b w:val="0"/>
          <w:bCs w:val="0"/>
          <w:spacing w:val="2"/>
          <w:sz w:val="28"/>
          <w:szCs w:val="28"/>
        </w:rPr>
        <w:t>袋水泥，采取多点取样的方式取样，</w:t>
      </w:r>
      <w:r>
        <w:rPr>
          <w:rFonts w:hint="eastAsia" w:asciiTheme="minorEastAsia" w:hAnsiTheme="minorEastAsia" w:eastAsiaTheme="minorEastAsia" w:cstheme="minorEastAsia"/>
          <w:b w:val="0"/>
          <w:bCs w:val="0"/>
          <w:spacing w:val="6"/>
          <w:sz w:val="28"/>
          <w:szCs w:val="28"/>
        </w:rPr>
        <w:t>取样点不少于20个，每个点取等量样品。</w:t>
      </w:r>
    </w:p>
    <w:p w14:paraId="0347F8E5">
      <w:pPr>
        <w:pStyle w:val="2"/>
        <w:spacing w:before="31" w:line="228"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359E01D9">
      <w:pPr>
        <w:pStyle w:val="2"/>
        <w:spacing w:before="149" w:line="228" w:lineRule="auto"/>
        <w:ind w:left="4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抽样基数满足抽样数量即可。</w:t>
      </w:r>
    </w:p>
    <w:p w14:paraId="298D2006">
      <w:pPr>
        <w:pStyle w:val="2"/>
        <w:spacing w:before="161" w:line="228"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抽样范围</w:t>
      </w:r>
    </w:p>
    <w:p w14:paraId="0FCD5AA3">
      <w:pPr>
        <w:pStyle w:val="2"/>
        <w:spacing w:before="161" w:line="228" w:lineRule="auto"/>
        <w:ind w:left="4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抽查产品种类</w:t>
      </w:r>
      <w:r>
        <w:rPr>
          <w:rFonts w:hint="eastAsia" w:asciiTheme="minorEastAsia" w:hAnsiTheme="minorEastAsia" w:eastAsiaTheme="minorEastAsia" w:cstheme="minorEastAsia"/>
          <w:b w:val="0"/>
          <w:bCs w:val="0"/>
          <w:spacing w:val="9"/>
          <w:sz w:val="28"/>
          <w:szCs w:val="28"/>
          <w:lang w:eastAsia="zh-CN"/>
        </w:rPr>
        <w:t>包括</w:t>
      </w:r>
      <w:r>
        <w:rPr>
          <w:rFonts w:hint="eastAsia" w:asciiTheme="minorEastAsia" w:hAnsiTheme="minorEastAsia" w:eastAsiaTheme="minorEastAsia" w:cstheme="minorEastAsia"/>
          <w:b w:val="0"/>
          <w:bCs w:val="0"/>
          <w:spacing w:val="9"/>
          <w:sz w:val="28"/>
          <w:szCs w:val="28"/>
        </w:rPr>
        <w:t>通用硅酸盐水泥产品</w:t>
      </w:r>
      <w:r>
        <w:rPr>
          <w:rFonts w:hint="eastAsia" w:asciiTheme="minorEastAsia" w:hAnsiTheme="minorEastAsia" w:eastAsiaTheme="minorEastAsia" w:cstheme="minorEastAsia"/>
          <w:b w:val="0"/>
          <w:bCs w:val="0"/>
          <w:spacing w:val="9"/>
          <w:sz w:val="28"/>
          <w:szCs w:val="28"/>
          <w:lang w:eastAsia="zh-CN"/>
        </w:rPr>
        <w:t>、砌筑水泥产品</w:t>
      </w:r>
      <w:r>
        <w:rPr>
          <w:rFonts w:hint="eastAsia" w:asciiTheme="minorEastAsia" w:hAnsiTheme="minorEastAsia" w:eastAsiaTheme="minorEastAsia" w:cstheme="minorEastAsia"/>
          <w:b w:val="0"/>
          <w:bCs w:val="0"/>
          <w:spacing w:val="9"/>
          <w:sz w:val="28"/>
          <w:szCs w:val="28"/>
        </w:rPr>
        <w:t>。</w:t>
      </w:r>
    </w:p>
    <w:p w14:paraId="731A6863">
      <w:pPr>
        <w:pStyle w:val="2"/>
        <w:spacing w:before="35" w:line="362" w:lineRule="auto"/>
        <w:rPr>
          <w:rFonts w:hint="eastAsia" w:asciiTheme="minorEastAsia" w:hAnsiTheme="minorEastAsia" w:eastAsiaTheme="minorEastAsia" w:cstheme="minorEastAsia"/>
          <w:b w:val="0"/>
          <w:bCs w:val="0"/>
          <w:spacing w:val="2"/>
          <w:sz w:val="28"/>
          <w:szCs w:val="28"/>
        </w:rPr>
      </w:pPr>
      <w:r>
        <w:rPr>
          <w:rFonts w:hint="eastAsia" w:asciiTheme="minorEastAsia" w:hAnsiTheme="minorEastAsia" w:eastAsiaTheme="minorEastAsia" w:cstheme="minorEastAsia"/>
          <w:b w:val="0"/>
          <w:bCs w:val="0"/>
          <w:spacing w:val="2"/>
          <w:sz w:val="28"/>
          <w:szCs w:val="28"/>
        </w:rPr>
        <w:t>1.4 抽样数量</w:t>
      </w:r>
    </w:p>
    <w:p w14:paraId="639F7F00">
      <w:pPr>
        <w:pStyle w:val="2"/>
        <w:spacing w:before="35" w:line="362" w:lineRule="auto"/>
        <w:ind w:left="24" w:firstLine="416"/>
        <w:rPr>
          <w:rFonts w:hint="eastAsia" w:asciiTheme="minorEastAsia" w:hAnsiTheme="minorEastAsia" w:eastAsiaTheme="minorEastAsia" w:cstheme="minorEastAsia"/>
          <w:b w:val="0"/>
          <w:bCs w:val="0"/>
          <w:spacing w:val="2"/>
          <w:sz w:val="28"/>
          <w:szCs w:val="28"/>
        </w:rPr>
      </w:pPr>
      <w:r>
        <w:rPr>
          <w:rFonts w:hint="eastAsia" w:asciiTheme="minorEastAsia" w:hAnsiTheme="minorEastAsia" w:eastAsiaTheme="minorEastAsia" w:cstheme="minorEastAsia"/>
          <w:b w:val="0"/>
          <w:bCs w:val="0"/>
          <w:spacing w:val="2"/>
          <w:sz w:val="28"/>
          <w:szCs w:val="28"/>
        </w:rPr>
        <w:t>通用硅酸盐水泥：每批次抽取的样品数量不得少于 20kg，将样品通过0.9mm方孔筛后均分为两份，每份至少10kg，其中一份为检验样品，另一份为备用样品。</w:t>
      </w:r>
    </w:p>
    <w:p w14:paraId="6A69C261">
      <w:pPr>
        <w:pStyle w:val="2"/>
        <w:spacing w:before="35" w:line="362" w:lineRule="auto"/>
        <w:ind w:left="24" w:firstLine="416"/>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2"/>
          <w:sz w:val="28"/>
          <w:szCs w:val="28"/>
        </w:rPr>
        <w:t>砌筑水泥：每批次抽取的样品数量不得少于16kg，将样品通过0.9mm 方孔筛后均分为两份，每份至少8kg，其中一份为检验样品，另一份为备用样品。</w:t>
      </w:r>
    </w:p>
    <w:p w14:paraId="695133CF">
      <w:pPr>
        <w:pStyle w:val="2"/>
        <w:spacing w:before="40" w:line="228" w:lineRule="auto"/>
        <w:ind w:left="24"/>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7F8D77C3">
      <w:pPr>
        <w:pStyle w:val="2"/>
        <w:spacing w:before="161"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rPr>
        <w:t>通用硅酸盐水泥产品检验项目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3012"/>
        <w:gridCol w:w="2935"/>
      </w:tblGrid>
      <w:tr w14:paraId="268D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608" w:type="dxa"/>
            <w:vAlign w:val="center"/>
          </w:tcPr>
          <w:p w14:paraId="2653D544">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012" w:type="dxa"/>
            <w:vAlign w:val="center"/>
          </w:tcPr>
          <w:p w14:paraId="65EB3EAA">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935" w:type="dxa"/>
            <w:vAlign w:val="center"/>
          </w:tcPr>
          <w:p w14:paraId="5A1DEC86">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155E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608" w:type="dxa"/>
            <w:vAlign w:val="center"/>
          </w:tcPr>
          <w:p w14:paraId="4189794E">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012" w:type="dxa"/>
            <w:vAlign w:val="center"/>
          </w:tcPr>
          <w:p w14:paraId="5E319FF0">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val="en-US" w:eastAsia="zh-CN"/>
              </w:rPr>
              <w:t>不溶物</w:t>
            </w:r>
          </w:p>
        </w:tc>
        <w:tc>
          <w:tcPr>
            <w:tcW w:w="2935" w:type="dxa"/>
            <w:vAlign w:val="center"/>
          </w:tcPr>
          <w:p w14:paraId="44A7958C">
            <w:pPr>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183A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08" w:type="dxa"/>
            <w:vAlign w:val="center"/>
          </w:tcPr>
          <w:p w14:paraId="2F48D2F4">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012" w:type="dxa"/>
            <w:vAlign w:val="center"/>
          </w:tcPr>
          <w:p w14:paraId="7A9DC56B">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三氧化硫</w:t>
            </w:r>
          </w:p>
        </w:tc>
        <w:tc>
          <w:tcPr>
            <w:tcW w:w="2935" w:type="dxa"/>
            <w:vAlign w:val="top"/>
          </w:tcPr>
          <w:p w14:paraId="20FD5E6F">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3ED1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08" w:type="dxa"/>
            <w:vAlign w:val="center"/>
          </w:tcPr>
          <w:p w14:paraId="46DB0D2D">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012" w:type="dxa"/>
            <w:vAlign w:val="center"/>
          </w:tcPr>
          <w:p w14:paraId="16C73B39">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烧失量</w:t>
            </w:r>
          </w:p>
        </w:tc>
        <w:tc>
          <w:tcPr>
            <w:tcW w:w="2935" w:type="dxa"/>
            <w:vAlign w:val="top"/>
          </w:tcPr>
          <w:p w14:paraId="1CE6187D">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6F13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08" w:type="dxa"/>
            <w:vAlign w:val="center"/>
          </w:tcPr>
          <w:p w14:paraId="5D2399B0">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012" w:type="dxa"/>
            <w:vAlign w:val="center"/>
          </w:tcPr>
          <w:p w14:paraId="5BBE69F8">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氧化镁</w:t>
            </w:r>
          </w:p>
        </w:tc>
        <w:tc>
          <w:tcPr>
            <w:tcW w:w="2935" w:type="dxa"/>
            <w:vAlign w:val="top"/>
          </w:tcPr>
          <w:p w14:paraId="331C38DF">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3C2D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08" w:type="dxa"/>
            <w:vAlign w:val="center"/>
          </w:tcPr>
          <w:p w14:paraId="466EBAF6">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012" w:type="dxa"/>
            <w:vAlign w:val="center"/>
          </w:tcPr>
          <w:p w14:paraId="51556020">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氯离子</w:t>
            </w:r>
          </w:p>
        </w:tc>
        <w:tc>
          <w:tcPr>
            <w:tcW w:w="2935" w:type="dxa"/>
            <w:vAlign w:val="top"/>
          </w:tcPr>
          <w:p w14:paraId="467BDB89">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0822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608" w:type="dxa"/>
            <w:vAlign w:val="center"/>
          </w:tcPr>
          <w:p w14:paraId="040BF19A">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012" w:type="dxa"/>
            <w:vAlign w:val="center"/>
          </w:tcPr>
          <w:p w14:paraId="0141A416">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碱含量</w:t>
            </w:r>
          </w:p>
        </w:tc>
        <w:tc>
          <w:tcPr>
            <w:tcW w:w="2935" w:type="dxa"/>
            <w:vAlign w:val="top"/>
          </w:tcPr>
          <w:p w14:paraId="7B050815">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bl>
    <w:p w14:paraId="3CC5F00A">
      <w:pPr>
        <w:pStyle w:val="2"/>
        <w:spacing w:before="161" w:line="228" w:lineRule="auto"/>
        <w:jc w:val="center"/>
        <w:rPr>
          <w:rFonts w:hint="eastAsia" w:asciiTheme="minorEastAsia" w:hAnsiTheme="minorEastAsia" w:eastAsiaTheme="minorEastAsia" w:cstheme="minorEastAsia"/>
          <w:b w:val="0"/>
          <w:bCs w:val="0"/>
          <w:spacing w:val="5"/>
          <w:sz w:val="28"/>
          <w:szCs w:val="28"/>
        </w:rPr>
      </w:pPr>
    </w:p>
    <w:p w14:paraId="5662D746">
      <w:pPr>
        <w:pStyle w:val="2"/>
        <w:spacing w:before="161"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5"/>
          <w:sz w:val="28"/>
          <w:szCs w:val="28"/>
          <w:lang w:val="en-US" w:eastAsia="zh-CN"/>
        </w:rPr>
        <w:t>2 砌筑水泥</w:t>
      </w:r>
      <w:r>
        <w:rPr>
          <w:rFonts w:hint="eastAsia" w:asciiTheme="minorEastAsia" w:hAnsiTheme="minorEastAsia" w:eastAsiaTheme="minorEastAsia" w:cstheme="minorEastAsia"/>
          <w:b w:val="0"/>
          <w:bCs w:val="0"/>
          <w:spacing w:val="5"/>
          <w:sz w:val="28"/>
          <w:szCs w:val="28"/>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3012"/>
        <w:gridCol w:w="2935"/>
      </w:tblGrid>
      <w:tr w14:paraId="6E31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502" w:type="dxa"/>
            <w:vAlign w:val="center"/>
          </w:tcPr>
          <w:p w14:paraId="60FBB330">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012" w:type="dxa"/>
            <w:vAlign w:val="center"/>
          </w:tcPr>
          <w:p w14:paraId="0CCEF586">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935" w:type="dxa"/>
            <w:vAlign w:val="center"/>
          </w:tcPr>
          <w:p w14:paraId="600CDD50">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332E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502" w:type="dxa"/>
            <w:vAlign w:val="center"/>
          </w:tcPr>
          <w:p w14:paraId="37B05732">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012" w:type="dxa"/>
            <w:vAlign w:val="center"/>
          </w:tcPr>
          <w:p w14:paraId="23C0E6C3">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三氧化硫</w:t>
            </w:r>
          </w:p>
        </w:tc>
        <w:tc>
          <w:tcPr>
            <w:tcW w:w="2935" w:type="dxa"/>
            <w:vAlign w:val="top"/>
          </w:tcPr>
          <w:p w14:paraId="6834F845">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r w14:paraId="10B2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502" w:type="dxa"/>
            <w:vAlign w:val="center"/>
          </w:tcPr>
          <w:p w14:paraId="55BE687F">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012" w:type="dxa"/>
            <w:vAlign w:val="center"/>
          </w:tcPr>
          <w:p w14:paraId="4773E6FD">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氯离子</w:t>
            </w:r>
          </w:p>
        </w:tc>
        <w:tc>
          <w:tcPr>
            <w:tcW w:w="2935" w:type="dxa"/>
            <w:vAlign w:val="top"/>
          </w:tcPr>
          <w:p w14:paraId="1DA1D422">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 xml:space="preserve">/T </w:t>
            </w:r>
            <w:r>
              <w:rPr>
                <w:rFonts w:hint="eastAsia" w:asciiTheme="minorEastAsia" w:hAnsiTheme="minorEastAsia" w:eastAsiaTheme="minorEastAsia" w:cstheme="minorEastAsia"/>
                <w:b w:val="0"/>
                <w:bCs w:val="0"/>
                <w:spacing w:val="7"/>
                <w:sz w:val="28"/>
                <w:szCs w:val="28"/>
              </w:rPr>
              <w:t>17</w:t>
            </w:r>
            <w:r>
              <w:rPr>
                <w:rFonts w:hint="eastAsia" w:asciiTheme="minorEastAsia" w:hAnsiTheme="minorEastAsia" w:eastAsiaTheme="minorEastAsia" w:cstheme="minorEastAsia"/>
                <w:b w:val="0"/>
                <w:bCs w:val="0"/>
                <w:spacing w:val="7"/>
                <w:sz w:val="28"/>
                <w:szCs w:val="28"/>
                <w:lang w:val="en-US" w:eastAsia="zh-CN"/>
              </w:rPr>
              <w:t>6</w:t>
            </w:r>
          </w:p>
        </w:tc>
      </w:tr>
    </w:tbl>
    <w:p w14:paraId="6AEFC9EE">
      <w:pPr>
        <w:pStyle w:val="2"/>
        <w:spacing w:before="187" w:line="228" w:lineRule="auto"/>
        <w:ind w:firstLine="596"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注：执行企业标准、团体标准、地方标准的产品，检验项目参照上述内容执行。</w:t>
      </w:r>
    </w:p>
    <w:p w14:paraId="6DDF3660">
      <w:pPr>
        <w:pStyle w:val="2"/>
        <w:spacing w:before="160" w:line="362" w:lineRule="auto"/>
        <w:ind w:left="26" w:right="42"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w:t>
      </w:r>
      <w:r>
        <w:rPr>
          <w:rFonts w:hint="eastAsia" w:asciiTheme="minorEastAsia" w:hAnsiTheme="minorEastAsia" w:eastAsiaTheme="minorEastAsia" w:cstheme="minorEastAsia"/>
          <w:b w:val="0"/>
          <w:bCs w:val="0"/>
          <w:spacing w:val="9"/>
          <w:sz w:val="28"/>
          <w:szCs w:val="28"/>
        </w:rPr>
        <w:t>则。凡是不注日期的文件，其最新版本适用于本细则。</w:t>
      </w:r>
    </w:p>
    <w:p w14:paraId="5A96B280">
      <w:pPr>
        <w:pStyle w:val="2"/>
        <w:spacing w:before="32" w:line="228" w:lineRule="auto"/>
        <w:ind w:left="26"/>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3</w:t>
      </w:r>
      <w:r>
        <w:rPr>
          <w:rFonts w:hint="eastAsia" w:asciiTheme="minorEastAsia" w:hAnsiTheme="minorEastAsia" w:eastAsiaTheme="minorEastAsia" w:cstheme="minorEastAsia"/>
          <w:b w:val="0"/>
          <w:bCs w:val="0"/>
          <w:spacing w:val="14"/>
          <w:sz w:val="28"/>
          <w:szCs w:val="28"/>
        </w:rPr>
        <w:t xml:space="preserve"> </w:t>
      </w:r>
      <w:r>
        <w:rPr>
          <w:rFonts w:hint="eastAsia" w:asciiTheme="minorEastAsia" w:hAnsiTheme="minorEastAsia" w:eastAsiaTheme="minorEastAsia" w:cstheme="minorEastAsia"/>
          <w:b w:val="0"/>
          <w:bCs w:val="0"/>
          <w:spacing w:val="3"/>
          <w:sz w:val="28"/>
          <w:szCs w:val="28"/>
        </w:rPr>
        <w:t>判定原则</w:t>
      </w:r>
    </w:p>
    <w:p w14:paraId="5E10C358">
      <w:pPr>
        <w:pStyle w:val="2"/>
        <w:spacing w:before="31" w:line="362" w:lineRule="auto"/>
        <w:ind w:right="42"/>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3.1 标准依据</w:t>
      </w:r>
    </w:p>
    <w:p w14:paraId="7FAC6DC9">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 xml:space="preserve">GB 175  通用硅酸盐水泥 </w:t>
      </w:r>
    </w:p>
    <w:p w14:paraId="46E8AF5B">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lang w:val="en-US" w:eastAsia="zh-CN"/>
        </w:rPr>
      </w:pPr>
      <w:r>
        <w:rPr>
          <w:rFonts w:hint="eastAsia" w:asciiTheme="minorEastAsia" w:hAnsiTheme="minorEastAsia" w:eastAsiaTheme="minorEastAsia" w:cstheme="minorEastAsia"/>
          <w:b w:val="0"/>
          <w:bCs w:val="0"/>
          <w:spacing w:val="6"/>
          <w:sz w:val="28"/>
          <w:szCs w:val="28"/>
        </w:rPr>
        <w:t>GB/T 3183</w:t>
      </w:r>
      <w:r>
        <w:rPr>
          <w:rFonts w:hint="eastAsia" w:asciiTheme="minorEastAsia" w:hAnsiTheme="minorEastAsia" w:eastAsiaTheme="minorEastAsia" w:cstheme="minorEastAsia"/>
          <w:b w:val="0"/>
          <w:bCs w:val="0"/>
          <w:spacing w:val="6"/>
          <w:sz w:val="28"/>
          <w:szCs w:val="28"/>
          <w:lang w:val="en-US" w:eastAsia="zh-CN"/>
        </w:rPr>
        <w:t xml:space="preserve"> 砌筑水泥</w:t>
      </w:r>
    </w:p>
    <w:p w14:paraId="011D2A0B">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相关的法律、行政法规、部门规章、规范性文件</w:t>
      </w:r>
    </w:p>
    <w:p w14:paraId="03E89D4E">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 xml:space="preserve">现行有效的企业标准、团体标准、地方标准及产品明示质量要求 </w:t>
      </w:r>
    </w:p>
    <w:p w14:paraId="1F4AAACC">
      <w:pPr>
        <w:pStyle w:val="2"/>
        <w:spacing w:before="31" w:line="362" w:lineRule="auto"/>
        <w:ind w:right="42"/>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3.2 判定原则</w:t>
      </w:r>
    </w:p>
    <w:p w14:paraId="0D1FD097">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经检验，检验项目全部合格，判定为被抽查产品所检项目未发现不合格；检验项目中任一项或一项以上不合格，判定为被抽查产品不合格。</w:t>
      </w:r>
    </w:p>
    <w:p w14:paraId="520B602C">
      <w:pPr>
        <w:pStyle w:val="2"/>
        <w:spacing w:before="31" w:line="362" w:lineRule="auto"/>
        <w:ind w:left="23" w:right="42" w:firstLine="42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若被检产品明示的质量要求高于本细则中标准指标要求时，应按被检产品明示的质量要求判定。</w:t>
      </w:r>
    </w:p>
    <w:p w14:paraId="58B83C2A">
      <w:pPr>
        <w:pStyle w:val="2"/>
        <w:spacing w:before="31" w:line="362" w:lineRule="auto"/>
        <w:ind w:left="23" w:right="42"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若被检产品明示的质量要求低于本细则中依据的强制性标准指标要求时，应按照强制性</w:t>
      </w:r>
      <w:r>
        <w:rPr>
          <w:rFonts w:hint="eastAsia" w:asciiTheme="minorEastAsia" w:hAnsiTheme="minorEastAsia" w:eastAsiaTheme="minorEastAsia" w:cstheme="minorEastAsia"/>
          <w:b w:val="0"/>
          <w:bCs w:val="0"/>
          <w:spacing w:val="6"/>
          <w:sz w:val="28"/>
          <w:szCs w:val="28"/>
        </w:rPr>
        <w:t>标准要求判定。</w:t>
      </w:r>
    </w:p>
    <w:p w14:paraId="6C48FDE4">
      <w:pPr>
        <w:pStyle w:val="2"/>
        <w:spacing w:before="32" w:line="361" w:lineRule="auto"/>
        <w:ind w:left="41" w:right="42" w:firstLine="40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若被检产品明示的质量要求低于或包含本细则中推荐性标准指标要求时，应以被检产品</w:t>
      </w:r>
      <w:r>
        <w:rPr>
          <w:rFonts w:hint="eastAsia" w:asciiTheme="minorEastAsia" w:hAnsiTheme="minorEastAsia" w:eastAsiaTheme="minorEastAsia" w:cstheme="minorEastAsia"/>
          <w:b w:val="0"/>
          <w:bCs w:val="0"/>
          <w:spacing w:val="8"/>
          <w:sz w:val="28"/>
          <w:szCs w:val="28"/>
        </w:rPr>
        <w:t>明示的质量要求判定，但应在检验报告备注中进行说明。</w:t>
      </w:r>
    </w:p>
    <w:p w14:paraId="34642369">
      <w:pPr>
        <w:pStyle w:val="2"/>
        <w:spacing w:before="36" w:line="362" w:lineRule="auto"/>
        <w:ind w:left="23" w:right="42" w:firstLine="41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若被检产品明示的质量要求缺少本细则中强制性标准指标要求时，应按照强制性标准要</w:t>
      </w:r>
      <w:r>
        <w:rPr>
          <w:rFonts w:hint="eastAsia" w:asciiTheme="minorEastAsia" w:hAnsiTheme="minorEastAsia" w:eastAsiaTheme="minorEastAsia" w:cstheme="minorEastAsia"/>
          <w:b w:val="0"/>
          <w:bCs w:val="0"/>
          <w:spacing w:val="4"/>
          <w:sz w:val="28"/>
          <w:szCs w:val="28"/>
        </w:rPr>
        <w:t>求判定。</w:t>
      </w:r>
    </w:p>
    <w:p w14:paraId="673668EC">
      <w:pPr>
        <w:pStyle w:val="2"/>
        <w:spacing w:before="31" w:line="362" w:lineRule="auto"/>
        <w:ind w:left="23" w:right="42"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若被检产品明示的质量要求缺少本细则中推荐性标准指标要求时，该项目不参与判定，但应在检验报告备注中进行说明。</w:t>
      </w:r>
    </w:p>
    <w:p w14:paraId="626E7349">
      <w:pPr>
        <w:pStyle w:val="2"/>
        <w:spacing w:before="31" w:line="362" w:lineRule="auto"/>
        <w:ind w:right="42"/>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4 异议复检</w:t>
      </w:r>
    </w:p>
    <w:p w14:paraId="602ABEAD">
      <w:pPr>
        <w:pStyle w:val="2"/>
        <w:spacing w:before="32" w:line="361" w:lineRule="auto"/>
        <w:ind w:left="41" w:right="42" w:firstLine="401"/>
        <w:rPr>
          <w:rFonts w:hint="eastAsia" w:asciiTheme="minorEastAsia" w:hAnsiTheme="minorEastAsia" w:eastAsiaTheme="minorEastAsia" w:cstheme="minorEastAsia"/>
          <w:b w:val="0"/>
          <w:bCs w:val="0"/>
          <w:spacing w:val="8"/>
          <w:sz w:val="28"/>
          <w:szCs w:val="28"/>
          <w:lang w:eastAsia="zh-CN"/>
        </w:rPr>
      </w:pPr>
      <w:r>
        <w:rPr>
          <w:rFonts w:hint="eastAsia" w:asciiTheme="minorEastAsia" w:hAnsiTheme="minorEastAsia" w:eastAsiaTheme="minorEastAsia" w:cstheme="minorEastAsia"/>
          <w:b w:val="0"/>
          <w:bCs w:val="0"/>
          <w:spacing w:val="8"/>
          <w:sz w:val="28"/>
          <w:szCs w:val="28"/>
        </w:rPr>
        <w:t>本细则中确定的全部检验项目，采用备用样品进行复检</w:t>
      </w:r>
      <w:r>
        <w:rPr>
          <w:rFonts w:hint="eastAsia" w:asciiTheme="minorEastAsia" w:hAnsiTheme="minorEastAsia" w:eastAsiaTheme="minorEastAsia" w:cstheme="minorEastAsia"/>
          <w:b w:val="0"/>
          <w:bCs w:val="0"/>
          <w:spacing w:val="8"/>
          <w:sz w:val="28"/>
          <w:szCs w:val="28"/>
          <w:lang w:eastAsia="zh-CN"/>
        </w:rPr>
        <w:t>。</w:t>
      </w:r>
    </w:p>
    <w:p w14:paraId="41A28B44">
      <w:pPr>
        <w:pStyle w:val="2"/>
        <w:spacing w:before="32" w:line="361" w:lineRule="auto"/>
        <w:ind w:left="41" w:right="42" w:firstLine="401"/>
        <w:rPr>
          <w:rFonts w:hint="eastAsia" w:asciiTheme="minorEastAsia" w:hAnsiTheme="minorEastAsia" w:eastAsiaTheme="minorEastAsia" w:cstheme="minorEastAsia"/>
          <w:b w:val="0"/>
          <w:bCs w:val="0"/>
          <w:spacing w:val="8"/>
          <w:sz w:val="28"/>
          <w:szCs w:val="28"/>
        </w:rPr>
      </w:pPr>
    </w:p>
    <w:sectPr>
      <w:footerReference r:id="rId5" w:type="default"/>
      <w:pgSz w:w="11906" w:h="16839"/>
      <w:pgMar w:top="1440" w:right="1083" w:bottom="1440" w:left="1083" w:header="0" w:footer="1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F570A">
    <w:pPr>
      <w:spacing w:line="176" w:lineRule="auto"/>
      <w:ind w:left="4130"/>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jNjOWJjZWRlNDJjM2M1M2M2MDEzY2Y5NzZiODM0N2MifQ=="/>
  </w:docVars>
  <w:rsids>
    <w:rsidRoot w:val="00000000"/>
    <w:rsid w:val="04B54EE7"/>
    <w:rsid w:val="051F463F"/>
    <w:rsid w:val="09412D13"/>
    <w:rsid w:val="0A1F0C00"/>
    <w:rsid w:val="1A7F369B"/>
    <w:rsid w:val="20805C94"/>
    <w:rsid w:val="20BE4093"/>
    <w:rsid w:val="260F6B7F"/>
    <w:rsid w:val="2FD61B58"/>
    <w:rsid w:val="36343134"/>
    <w:rsid w:val="382275F5"/>
    <w:rsid w:val="424B1235"/>
    <w:rsid w:val="4C207F8B"/>
    <w:rsid w:val="52C64358"/>
    <w:rsid w:val="553F65B2"/>
    <w:rsid w:val="68004418"/>
    <w:rsid w:val="6AD14E1A"/>
    <w:rsid w:val="703F1C50"/>
    <w:rsid w:val="70A33721"/>
    <w:rsid w:val="732A48C9"/>
    <w:rsid w:val="76A214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1051</Words>
  <Characters>1135</Characters>
  <TotalTime>8</TotalTime>
  <ScaleCrop>false</ScaleCrop>
  <LinksUpToDate>false</LinksUpToDate>
  <CharactersWithSpaces>1173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Windows 用户</dc:creator>
  <cp:lastModifiedBy>创信检测</cp:lastModifiedBy>
  <dcterms:modified xsi:type="dcterms:W3CDTF">2026-03-14T03:12:33Z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2052-12.1.0.25225</vt:lpwstr>
  </property>
  <property fmtid="{D5CDD505-2E9C-101B-9397-08002B2CF9AE}" pid="5" name="ICV">
    <vt:lpwstr>D5A81CD611024608A2732EC9C1D04F38_13</vt:lpwstr>
  </property>
  <property fmtid="{D5CDD505-2E9C-101B-9397-08002B2CF9AE}" pid="6" name="KSOTemplateDocerSaveRecord">
    <vt:lpwstr>eyJoZGlkIjoiOTdiNzZkOTk1ODVkM2NjNmU3NDdhZjI1NDFkMDc1ZDQiLCJ1c2VySWQiOiI5OTAwOTk0MDkifQ==</vt:lpwstr>
  </property>
</Properties>
</file>