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426C8">
      <w:pPr>
        <w:pStyle w:val="2"/>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滴灌带</w:t>
      </w:r>
      <w:r>
        <w:rPr>
          <w:rFonts w:hint="eastAsia" w:asciiTheme="minorEastAsia" w:hAnsiTheme="minorEastAsia" w:eastAsiaTheme="minorEastAsia" w:cstheme="minorEastAsia"/>
          <w:b w:val="0"/>
          <w:bCs w:val="0"/>
          <w:spacing w:val="-4"/>
          <w:sz w:val="28"/>
          <w:szCs w:val="28"/>
        </w:rPr>
        <w:t>产品质量监督抽查实施细则</w:t>
      </w:r>
    </w:p>
    <w:p w14:paraId="1FDDCBA1">
      <w:pPr>
        <w:pStyle w:val="2"/>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1 </w:t>
      </w:r>
      <w:r>
        <w:rPr>
          <w:rFonts w:hint="eastAsia" w:asciiTheme="minorEastAsia" w:hAnsiTheme="minorEastAsia" w:eastAsiaTheme="minorEastAsia" w:cstheme="minorEastAsia"/>
          <w:b w:val="0"/>
          <w:bCs w:val="0"/>
          <w:spacing w:val="7"/>
          <w:sz w:val="28"/>
          <w:szCs w:val="28"/>
        </w:rPr>
        <w:t>抽样</w:t>
      </w:r>
    </w:p>
    <w:p w14:paraId="4D23A237">
      <w:pPr>
        <w:pStyle w:val="2"/>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1.1 </w:t>
      </w:r>
      <w:r>
        <w:rPr>
          <w:rFonts w:hint="eastAsia" w:asciiTheme="minorEastAsia" w:hAnsiTheme="minorEastAsia" w:eastAsiaTheme="minorEastAsia" w:cstheme="minorEastAsia"/>
          <w:b w:val="0"/>
          <w:bCs w:val="0"/>
          <w:spacing w:val="7"/>
          <w:sz w:val="28"/>
          <w:szCs w:val="28"/>
        </w:rPr>
        <w:t>抽样范围</w:t>
      </w:r>
    </w:p>
    <w:p w14:paraId="17CF0F1A">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滴灌带及滴灌管产品。</w:t>
      </w:r>
      <w:r>
        <w:rPr>
          <w:rFonts w:hint="eastAsia" w:asciiTheme="minorEastAsia" w:hAnsiTheme="minorEastAsia" w:eastAsiaTheme="minorEastAsia" w:cstheme="minorEastAsia"/>
          <w:b w:val="0"/>
          <w:bCs w:val="0"/>
          <w:spacing w:val="7"/>
          <w:sz w:val="28"/>
          <w:szCs w:val="28"/>
          <w:lang w:val="en-US" w:eastAsia="zh-CN"/>
        </w:rPr>
        <w:t xml:space="preserve">                                                         </w:t>
      </w:r>
    </w:p>
    <w:p w14:paraId="3C24A7C9">
      <w:pPr>
        <w:pStyle w:val="2"/>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1.2 </w:t>
      </w:r>
      <w:r>
        <w:rPr>
          <w:rFonts w:hint="eastAsia" w:asciiTheme="minorEastAsia" w:hAnsiTheme="minorEastAsia" w:eastAsiaTheme="minorEastAsia" w:cstheme="minorEastAsia"/>
          <w:b w:val="0"/>
          <w:bCs w:val="0"/>
          <w:spacing w:val="7"/>
          <w:sz w:val="28"/>
          <w:szCs w:val="28"/>
        </w:rPr>
        <w:t>抽样方法</w:t>
      </w:r>
    </w:p>
    <w:p w14:paraId="3A0F4E83">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以随机抽样的方式在被抽样生产者、销售者的待销产品中抽取。 </w:t>
      </w:r>
    </w:p>
    <w:p w14:paraId="1954C230">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随机数一般可使用随机数表等方法产生。 </w:t>
      </w:r>
    </w:p>
    <w:p w14:paraId="3EE95B40">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每批次产品抽取完整包装的样品1卷（每卷长度大于等于1000米），现场将抽取到的1卷滴灌带去除外表层10米后，截取两份200米长的样品，分别标记为1号和2号，其中1号作为检验样品，2号作为备用样品。 </w:t>
      </w:r>
    </w:p>
    <w:p w14:paraId="13B10668">
      <w:pPr>
        <w:pStyle w:val="2"/>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2 </w:t>
      </w:r>
      <w:r>
        <w:rPr>
          <w:rFonts w:hint="eastAsia" w:asciiTheme="minorEastAsia" w:hAnsiTheme="minorEastAsia" w:eastAsiaTheme="minorEastAsia" w:cstheme="minorEastAsia"/>
          <w:b w:val="0"/>
          <w:bCs w:val="0"/>
          <w:spacing w:val="7"/>
          <w:sz w:val="28"/>
          <w:szCs w:val="28"/>
        </w:rPr>
        <w:t>检验项目及检测方法</w:t>
      </w:r>
    </w:p>
    <w:p w14:paraId="01FC7AA0">
      <w:pPr>
        <w:pStyle w:val="2"/>
        <w:spacing w:before="30" w:line="418" w:lineRule="auto"/>
        <w:ind w:left="23" w:right="15" w:firstLine="417"/>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eastAsia="zh-CN"/>
        </w:rPr>
        <w:t>表</w:t>
      </w:r>
      <w:r>
        <w:rPr>
          <w:rFonts w:hint="eastAsia" w:asciiTheme="minorEastAsia" w:hAnsiTheme="minorEastAsia" w:eastAsiaTheme="minorEastAsia" w:cstheme="minorEastAsia"/>
          <w:b w:val="0"/>
          <w:bCs w:val="0"/>
          <w:spacing w:val="7"/>
          <w:sz w:val="28"/>
          <w:szCs w:val="28"/>
          <w:lang w:val="en-US" w:eastAsia="zh-CN"/>
        </w:rPr>
        <w:t>1</w:t>
      </w:r>
      <w:r>
        <w:rPr>
          <w:rFonts w:hint="eastAsia" w:asciiTheme="minorEastAsia" w:hAnsiTheme="minorEastAsia" w:eastAsiaTheme="minorEastAsia" w:cstheme="minorEastAsia"/>
          <w:b w:val="0"/>
          <w:bCs w:val="0"/>
          <w:spacing w:val="7"/>
          <w:sz w:val="28"/>
          <w:szCs w:val="28"/>
        </w:rPr>
        <w:t xml:space="preserve"> 滴灌带</w:t>
      </w:r>
      <w:r>
        <w:rPr>
          <w:rFonts w:hint="eastAsia" w:asciiTheme="minorEastAsia" w:hAnsiTheme="minorEastAsia" w:eastAsiaTheme="minorEastAsia" w:cstheme="minorEastAsia"/>
          <w:b w:val="0"/>
          <w:bCs w:val="0"/>
          <w:spacing w:val="7"/>
          <w:sz w:val="28"/>
          <w:szCs w:val="28"/>
        </w:rPr>
        <w:t>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2930"/>
        <w:gridCol w:w="3243"/>
      </w:tblGrid>
      <w:tr w14:paraId="0854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568" w:type="dxa"/>
            <w:vAlign w:val="center"/>
          </w:tcPr>
          <w:p w14:paraId="60B7D7E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序号</w:t>
            </w:r>
          </w:p>
        </w:tc>
        <w:tc>
          <w:tcPr>
            <w:tcW w:w="2930" w:type="dxa"/>
            <w:vAlign w:val="center"/>
          </w:tcPr>
          <w:p w14:paraId="01DDF61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检验项目</w:t>
            </w:r>
          </w:p>
        </w:tc>
        <w:tc>
          <w:tcPr>
            <w:tcW w:w="3243" w:type="dxa"/>
            <w:vAlign w:val="center"/>
          </w:tcPr>
          <w:p w14:paraId="060AAE0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检验方法</w:t>
            </w:r>
          </w:p>
        </w:tc>
      </w:tr>
      <w:tr w14:paraId="752D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68" w:type="dxa"/>
            <w:vAlign w:val="center"/>
          </w:tcPr>
          <w:p w14:paraId="0154448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1</w:t>
            </w:r>
          </w:p>
        </w:tc>
        <w:tc>
          <w:tcPr>
            <w:tcW w:w="2930" w:type="dxa"/>
            <w:vAlign w:val="center"/>
          </w:tcPr>
          <w:p w14:paraId="4175931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外观</w:t>
            </w:r>
          </w:p>
        </w:tc>
        <w:tc>
          <w:tcPr>
            <w:tcW w:w="3243" w:type="dxa"/>
            <w:vAlign w:val="center"/>
          </w:tcPr>
          <w:p w14:paraId="7D2E749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tc>
      </w:tr>
      <w:tr w14:paraId="1531A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568" w:type="dxa"/>
            <w:vAlign w:val="center"/>
          </w:tcPr>
          <w:p w14:paraId="63D5C2F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2</w:t>
            </w:r>
          </w:p>
        </w:tc>
        <w:tc>
          <w:tcPr>
            <w:tcW w:w="2930" w:type="dxa"/>
            <w:vAlign w:val="center"/>
          </w:tcPr>
          <w:p w14:paraId="6F658D5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不透光性</w:t>
            </w:r>
          </w:p>
        </w:tc>
        <w:tc>
          <w:tcPr>
            <w:tcW w:w="3243" w:type="dxa"/>
            <w:vAlign w:val="center"/>
          </w:tcPr>
          <w:p w14:paraId="3441C8D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tc>
      </w:tr>
      <w:tr w14:paraId="36C8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568" w:type="dxa"/>
            <w:vAlign w:val="center"/>
          </w:tcPr>
          <w:p w14:paraId="21B6A71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3</w:t>
            </w:r>
          </w:p>
        </w:tc>
        <w:tc>
          <w:tcPr>
            <w:tcW w:w="2930" w:type="dxa"/>
            <w:vAlign w:val="center"/>
          </w:tcPr>
          <w:p w14:paraId="6063F10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规格尺寸</w:t>
            </w:r>
          </w:p>
        </w:tc>
        <w:tc>
          <w:tcPr>
            <w:tcW w:w="3243" w:type="dxa"/>
            <w:vAlign w:val="center"/>
          </w:tcPr>
          <w:p w14:paraId="2271538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p w14:paraId="5463559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8806</w:t>
            </w:r>
          </w:p>
        </w:tc>
      </w:tr>
      <w:tr w14:paraId="1387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68" w:type="dxa"/>
            <w:vAlign w:val="center"/>
          </w:tcPr>
          <w:p w14:paraId="4138BB4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4</w:t>
            </w:r>
          </w:p>
        </w:tc>
        <w:tc>
          <w:tcPr>
            <w:tcW w:w="2930" w:type="dxa"/>
            <w:vAlign w:val="center"/>
          </w:tcPr>
          <w:p w14:paraId="57A0822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耐水压</w:t>
            </w:r>
          </w:p>
        </w:tc>
        <w:tc>
          <w:tcPr>
            <w:tcW w:w="3243" w:type="dxa"/>
            <w:vAlign w:val="center"/>
          </w:tcPr>
          <w:p w14:paraId="495D95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tc>
      </w:tr>
      <w:tr w14:paraId="3348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568" w:type="dxa"/>
            <w:vAlign w:val="center"/>
          </w:tcPr>
          <w:p w14:paraId="7A739D4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5</w:t>
            </w:r>
          </w:p>
        </w:tc>
        <w:tc>
          <w:tcPr>
            <w:tcW w:w="2930" w:type="dxa"/>
            <w:vAlign w:val="center"/>
          </w:tcPr>
          <w:p w14:paraId="306FE35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爆破压力</w:t>
            </w:r>
          </w:p>
        </w:tc>
        <w:tc>
          <w:tcPr>
            <w:tcW w:w="3243" w:type="dxa"/>
            <w:vAlign w:val="center"/>
          </w:tcPr>
          <w:p w14:paraId="0E6252B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tc>
      </w:tr>
      <w:tr w14:paraId="6C89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568" w:type="dxa"/>
            <w:vAlign w:val="center"/>
          </w:tcPr>
          <w:p w14:paraId="1C428B3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6</w:t>
            </w:r>
          </w:p>
        </w:tc>
        <w:tc>
          <w:tcPr>
            <w:tcW w:w="2930" w:type="dxa"/>
            <w:vAlign w:val="center"/>
          </w:tcPr>
          <w:p w14:paraId="3FFC4A5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耐拉拔性能</w:t>
            </w:r>
          </w:p>
        </w:tc>
        <w:tc>
          <w:tcPr>
            <w:tcW w:w="3243" w:type="dxa"/>
            <w:vAlign w:val="center"/>
          </w:tcPr>
          <w:p w14:paraId="3C25A44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19812.1</w:t>
            </w:r>
          </w:p>
        </w:tc>
      </w:tr>
      <w:tr w14:paraId="15D8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568" w:type="dxa"/>
            <w:vAlign w:val="center"/>
          </w:tcPr>
          <w:p w14:paraId="273F789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7</w:t>
            </w:r>
          </w:p>
        </w:tc>
        <w:tc>
          <w:tcPr>
            <w:tcW w:w="2930" w:type="dxa"/>
            <w:vAlign w:val="center"/>
          </w:tcPr>
          <w:p w14:paraId="226EB44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碳黑含量</w:t>
            </w:r>
          </w:p>
        </w:tc>
        <w:tc>
          <w:tcPr>
            <w:tcW w:w="3243" w:type="dxa"/>
            <w:vAlign w:val="center"/>
          </w:tcPr>
          <w:p w14:paraId="3ED6607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 13021</w:t>
            </w:r>
          </w:p>
        </w:tc>
      </w:tr>
      <w:tr w14:paraId="233D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568" w:type="dxa"/>
            <w:vAlign w:val="center"/>
          </w:tcPr>
          <w:p w14:paraId="582BF56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8</w:t>
            </w:r>
          </w:p>
        </w:tc>
        <w:tc>
          <w:tcPr>
            <w:tcW w:w="2930" w:type="dxa"/>
            <w:vAlign w:val="center"/>
          </w:tcPr>
          <w:p w14:paraId="7293BCA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炭黑的分散</w:t>
            </w:r>
          </w:p>
        </w:tc>
        <w:tc>
          <w:tcPr>
            <w:tcW w:w="3243" w:type="dxa"/>
            <w:vAlign w:val="center"/>
          </w:tcPr>
          <w:p w14:paraId="1563E6F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18251</w:t>
            </w:r>
          </w:p>
        </w:tc>
      </w:tr>
      <w:tr w14:paraId="46E9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68" w:type="dxa"/>
            <w:vAlign w:val="center"/>
          </w:tcPr>
          <w:p w14:paraId="76759A2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9</w:t>
            </w:r>
          </w:p>
        </w:tc>
        <w:tc>
          <w:tcPr>
            <w:tcW w:w="2930" w:type="dxa"/>
            <w:vAlign w:val="center"/>
          </w:tcPr>
          <w:p w14:paraId="2D520A1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氧化诱导时间</w:t>
            </w:r>
          </w:p>
        </w:tc>
        <w:tc>
          <w:tcPr>
            <w:tcW w:w="3243" w:type="dxa"/>
            <w:vAlign w:val="center"/>
          </w:tcPr>
          <w:p w14:paraId="7F88B69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napToGrid/>
                <w:kern w:val="2"/>
                <w:sz w:val="28"/>
                <w:szCs w:val="28"/>
                <w:lang w:val="en-US" w:eastAsia="zh-CN"/>
              </w:rPr>
            </w:pPr>
            <w:r>
              <w:rPr>
                <w:rFonts w:hint="eastAsia" w:asciiTheme="minorEastAsia" w:hAnsiTheme="minorEastAsia" w:eastAsiaTheme="minorEastAsia" w:cstheme="minorEastAsia"/>
                <w:snapToGrid/>
                <w:kern w:val="2"/>
                <w:sz w:val="28"/>
                <w:szCs w:val="28"/>
                <w:lang w:val="en-US" w:eastAsia="zh-CN"/>
              </w:rPr>
              <w:t>GB/T 19466.6</w:t>
            </w:r>
          </w:p>
        </w:tc>
      </w:tr>
    </w:tbl>
    <w:p w14:paraId="3D544C9C">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注：执行企业标准、团体标准、地方标准的产品，检验项目参照上述内容执行。 </w:t>
      </w:r>
    </w:p>
    <w:p w14:paraId="3F146F6A">
      <w:pPr>
        <w:pStyle w:val="2"/>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凡是注日期的文件，其随后所有的修改单（不包括勘误的内容）或修订版不适用于本细则。</w:t>
      </w:r>
      <w:r>
        <w:rPr>
          <w:rFonts w:hint="eastAsia" w:asciiTheme="minorEastAsia" w:hAnsiTheme="minorEastAsia" w:eastAsiaTheme="minorEastAsia" w:cstheme="minorEastAsia"/>
          <w:b w:val="0"/>
          <w:bCs w:val="0"/>
          <w:spacing w:val="7"/>
          <w:sz w:val="28"/>
          <w:szCs w:val="28"/>
        </w:rPr>
        <w:t>凡是不注日期的文件，其最新版本适用于本细则。</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 xml:space="preserve"> </w:t>
      </w:r>
    </w:p>
    <w:p w14:paraId="1BF62DCB">
      <w:pPr>
        <w:pStyle w:val="2"/>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3 </w:t>
      </w:r>
      <w:r>
        <w:rPr>
          <w:rFonts w:hint="eastAsia" w:asciiTheme="minorEastAsia" w:hAnsiTheme="minorEastAsia" w:eastAsiaTheme="minorEastAsia" w:cstheme="minorEastAsia"/>
          <w:b w:val="0"/>
          <w:bCs w:val="0"/>
          <w:spacing w:val="7"/>
          <w:sz w:val="28"/>
          <w:szCs w:val="28"/>
        </w:rPr>
        <w:t xml:space="preserve">判定规则 </w:t>
      </w:r>
    </w:p>
    <w:p w14:paraId="07269227">
      <w:pPr>
        <w:pStyle w:val="2"/>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3.1 标准依据</w:t>
      </w:r>
    </w:p>
    <w:p w14:paraId="3D934203">
      <w:pPr>
        <w:pStyle w:val="2"/>
        <w:spacing w:before="30" w:line="418" w:lineRule="auto"/>
        <w:ind w:left="716" w:leftChars="201" w:right="15" w:hanging="294" w:hangingChars="1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 </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GB/T 19812.1 塑料节水灌溉器材第1部分：单翼迷宫式滴灌带</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相关的法律、行政法规、部门规章、规范性文件。</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 xml:space="preserve"> </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现行有效的企业标准、团体标准、地方标准及产品明示质量要求。</w:t>
      </w:r>
    </w:p>
    <w:p w14:paraId="282DAA02">
      <w:pPr>
        <w:pStyle w:val="2"/>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3.2 判定原则</w:t>
      </w:r>
    </w:p>
    <w:p w14:paraId="542FD22E">
      <w:pPr>
        <w:pStyle w:val="2"/>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经检验，检验项目全部合格，判定为被抽查产品所检项目未发现不合格；检验项目中任一项或一项以上不合格，判定为被抽查产品不合格。</w:t>
      </w:r>
    </w:p>
    <w:p w14:paraId="481017B0">
      <w:pPr>
        <w:pStyle w:val="2"/>
        <w:spacing w:before="31"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若被检产品明示的质量要求高于本细则中检验项目依据的标准要求时，应按被检产品明示的质量要求判定。</w:t>
      </w:r>
    </w:p>
    <w:p w14:paraId="1E7FD52E">
      <w:pPr>
        <w:pStyle w:val="2"/>
        <w:spacing w:before="30"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若被检产品明示的质量要求低于本细则中检验项目依据的强制性标准要求时，应按照强制性标准要求判定。</w:t>
      </w:r>
    </w:p>
    <w:p w14:paraId="6ABDD238">
      <w:pPr>
        <w:pStyle w:val="2"/>
        <w:spacing w:before="30" w:line="417" w:lineRule="auto"/>
        <w:ind w:left="45" w:right="15" w:firstLine="39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8CD853E">
      <w:pPr>
        <w:pStyle w:val="2"/>
        <w:spacing w:before="32"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若被检产品明示的质量要求缺少本细则中检验项目依据的强制性标准要求时，应按照强制性标准要求判定。</w:t>
      </w:r>
      <w:bookmarkStart w:id="0" w:name="_GoBack"/>
      <w:bookmarkEnd w:id="0"/>
    </w:p>
    <w:p w14:paraId="6360B97D">
      <w:pPr>
        <w:pStyle w:val="2"/>
        <w:spacing w:before="30" w:line="417" w:lineRule="auto"/>
        <w:ind w:left="23" w:right="15" w:firstLine="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8"/>
          <w:sz w:val="28"/>
          <w:szCs w:val="28"/>
        </w:rPr>
        <w:t>参与判定，但应在检验报告备注中进行说明。</w:t>
      </w:r>
    </w:p>
    <w:p w14:paraId="11EEC6C0">
      <w:pPr>
        <w:pStyle w:val="2"/>
        <w:spacing w:before="33" w:line="228" w:lineRule="auto"/>
        <w:ind w:left="2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6DEC5BF5">
      <w:pPr>
        <w:pStyle w:val="2"/>
        <w:spacing w:before="222" w:line="227" w:lineRule="auto"/>
        <w:ind w:left="44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p w14:paraId="317D9466">
      <w:pPr>
        <w:pStyle w:val="2"/>
        <w:spacing w:before="30" w:line="418" w:lineRule="auto"/>
        <w:ind w:left="23" w:right="15" w:firstLine="417"/>
        <w:rPr>
          <w:rFonts w:hint="eastAsia" w:asciiTheme="minorEastAsia" w:hAnsiTheme="minorEastAsia" w:eastAsiaTheme="minorEastAsia" w:cstheme="minorEastAsia"/>
          <w:b w:val="0"/>
          <w:bCs w:val="0"/>
          <w:spacing w:val="7"/>
          <w:sz w:val="28"/>
          <w:szCs w:val="28"/>
        </w:rPr>
      </w:pP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WZjYWUxMjQxYjcxMDExOWY3NzEwZjc4NDdlNTQ5MzQifQ=="/>
  </w:docVars>
  <w:rsids>
    <w:rsidRoot w:val="00000000"/>
    <w:rsid w:val="0089189B"/>
    <w:rsid w:val="01400096"/>
    <w:rsid w:val="017B7436"/>
    <w:rsid w:val="020E3E06"/>
    <w:rsid w:val="02A209F3"/>
    <w:rsid w:val="02D0730E"/>
    <w:rsid w:val="030A4873"/>
    <w:rsid w:val="04DF5F2E"/>
    <w:rsid w:val="04FA2D68"/>
    <w:rsid w:val="0563090D"/>
    <w:rsid w:val="063D25A3"/>
    <w:rsid w:val="067A4160"/>
    <w:rsid w:val="084542FA"/>
    <w:rsid w:val="08CE0793"/>
    <w:rsid w:val="09F71624"/>
    <w:rsid w:val="0A7669ED"/>
    <w:rsid w:val="0A805ABD"/>
    <w:rsid w:val="0B187AA4"/>
    <w:rsid w:val="0B3F14D4"/>
    <w:rsid w:val="0B574A70"/>
    <w:rsid w:val="0B5C3E34"/>
    <w:rsid w:val="0B8213C1"/>
    <w:rsid w:val="0C272694"/>
    <w:rsid w:val="0C50326D"/>
    <w:rsid w:val="0D3F54E5"/>
    <w:rsid w:val="0DBC6E0C"/>
    <w:rsid w:val="0E2F75DE"/>
    <w:rsid w:val="0E3C5D68"/>
    <w:rsid w:val="0F694D72"/>
    <w:rsid w:val="1001144E"/>
    <w:rsid w:val="10F22B45"/>
    <w:rsid w:val="11123024"/>
    <w:rsid w:val="117D4B05"/>
    <w:rsid w:val="119C2ECE"/>
    <w:rsid w:val="11AD363C"/>
    <w:rsid w:val="11B147AE"/>
    <w:rsid w:val="122A4C8C"/>
    <w:rsid w:val="12F26E2C"/>
    <w:rsid w:val="13B862C8"/>
    <w:rsid w:val="14983A03"/>
    <w:rsid w:val="1542409B"/>
    <w:rsid w:val="15B0279D"/>
    <w:rsid w:val="15B036FB"/>
    <w:rsid w:val="169A1CB5"/>
    <w:rsid w:val="16D74CB7"/>
    <w:rsid w:val="17013AE2"/>
    <w:rsid w:val="1720665E"/>
    <w:rsid w:val="17463BEB"/>
    <w:rsid w:val="175B7696"/>
    <w:rsid w:val="17A0779F"/>
    <w:rsid w:val="17DB07D7"/>
    <w:rsid w:val="180970F2"/>
    <w:rsid w:val="187D53EA"/>
    <w:rsid w:val="188E3A9B"/>
    <w:rsid w:val="196D545F"/>
    <w:rsid w:val="1A4B1C44"/>
    <w:rsid w:val="1BDB2B53"/>
    <w:rsid w:val="1C3D55BC"/>
    <w:rsid w:val="1D303373"/>
    <w:rsid w:val="1DD12460"/>
    <w:rsid w:val="1F0B3750"/>
    <w:rsid w:val="1F7056E8"/>
    <w:rsid w:val="1FE401B3"/>
    <w:rsid w:val="21CD2F3E"/>
    <w:rsid w:val="22794E74"/>
    <w:rsid w:val="22CA1B74"/>
    <w:rsid w:val="23977CA8"/>
    <w:rsid w:val="2452597D"/>
    <w:rsid w:val="245C67FB"/>
    <w:rsid w:val="24D942F0"/>
    <w:rsid w:val="260B04D9"/>
    <w:rsid w:val="26521FD0"/>
    <w:rsid w:val="27A6495D"/>
    <w:rsid w:val="28CD4608"/>
    <w:rsid w:val="28EC2844"/>
    <w:rsid w:val="29802F8C"/>
    <w:rsid w:val="2A4B17EC"/>
    <w:rsid w:val="2ACB6489"/>
    <w:rsid w:val="2E9A4AF0"/>
    <w:rsid w:val="30696528"/>
    <w:rsid w:val="30E43FEC"/>
    <w:rsid w:val="311C7A3E"/>
    <w:rsid w:val="31853836"/>
    <w:rsid w:val="31D24D0A"/>
    <w:rsid w:val="3203475A"/>
    <w:rsid w:val="32D83E39"/>
    <w:rsid w:val="331035D3"/>
    <w:rsid w:val="342F1837"/>
    <w:rsid w:val="34945B3E"/>
    <w:rsid w:val="36AC716F"/>
    <w:rsid w:val="36D3294D"/>
    <w:rsid w:val="380134EA"/>
    <w:rsid w:val="387463B2"/>
    <w:rsid w:val="38855EC9"/>
    <w:rsid w:val="395A54B7"/>
    <w:rsid w:val="39D92970"/>
    <w:rsid w:val="3AA30888"/>
    <w:rsid w:val="3AD76784"/>
    <w:rsid w:val="3BD333EF"/>
    <w:rsid w:val="3C814BF9"/>
    <w:rsid w:val="3C9E05CE"/>
    <w:rsid w:val="3D0A2E41"/>
    <w:rsid w:val="3D6C3AFB"/>
    <w:rsid w:val="3EEA117C"/>
    <w:rsid w:val="3F275F2C"/>
    <w:rsid w:val="3FD15E98"/>
    <w:rsid w:val="40774C91"/>
    <w:rsid w:val="40C47C82"/>
    <w:rsid w:val="424C5CAA"/>
    <w:rsid w:val="42750D5C"/>
    <w:rsid w:val="43397FDC"/>
    <w:rsid w:val="43884ABF"/>
    <w:rsid w:val="44044A8E"/>
    <w:rsid w:val="44890E7B"/>
    <w:rsid w:val="44E126D9"/>
    <w:rsid w:val="44F92119"/>
    <w:rsid w:val="473236C0"/>
    <w:rsid w:val="479C6D8B"/>
    <w:rsid w:val="47EF7803"/>
    <w:rsid w:val="486553D9"/>
    <w:rsid w:val="48F03833"/>
    <w:rsid w:val="48F549A5"/>
    <w:rsid w:val="49153299"/>
    <w:rsid w:val="49A168DB"/>
    <w:rsid w:val="49E30CA1"/>
    <w:rsid w:val="49ED1B20"/>
    <w:rsid w:val="4A565917"/>
    <w:rsid w:val="4AC565F9"/>
    <w:rsid w:val="4B0709C0"/>
    <w:rsid w:val="4BF34125"/>
    <w:rsid w:val="4C0F5D7E"/>
    <w:rsid w:val="4C6A38FC"/>
    <w:rsid w:val="4D0478AD"/>
    <w:rsid w:val="4D673998"/>
    <w:rsid w:val="4DC112FA"/>
    <w:rsid w:val="4DC82688"/>
    <w:rsid w:val="4E0062C6"/>
    <w:rsid w:val="4E3B72FE"/>
    <w:rsid w:val="4FBE6F02"/>
    <w:rsid w:val="508825A3"/>
    <w:rsid w:val="508B5BEF"/>
    <w:rsid w:val="50D457E8"/>
    <w:rsid w:val="50E7551B"/>
    <w:rsid w:val="52860D64"/>
    <w:rsid w:val="52D7336D"/>
    <w:rsid w:val="536966BB"/>
    <w:rsid w:val="54431726"/>
    <w:rsid w:val="559A7000"/>
    <w:rsid w:val="55F14746"/>
    <w:rsid w:val="56292132"/>
    <w:rsid w:val="56EB5639"/>
    <w:rsid w:val="570D735E"/>
    <w:rsid w:val="573A3ECB"/>
    <w:rsid w:val="57633422"/>
    <w:rsid w:val="59060509"/>
    <w:rsid w:val="594604B6"/>
    <w:rsid w:val="5A4D069C"/>
    <w:rsid w:val="5A581238"/>
    <w:rsid w:val="5A67188D"/>
    <w:rsid w:val="5AA955EF"/>
    <w:rsid w:val="5B745BFD"/>
    <w:rsid w:val="5BF60D08"/>
    <w:rsid w:val="5C3B671B"/>
    <w:rsid w:val="5CB14C2F"/>
    <w:rsid w:val="5CB309A7"/>
    <w:rsid w:val="5CFA4828"/>
    <w:rsid w:val="5D266901"/>
    <w:rsid w:val="5DD62B9F"/>
    <w:rsid w:val="5DE27796"/>
    <w:rsid w:val="5DEF3C61"/>
    <w:rsid w:val="5E856373"/>
    <w:rsid w:val="5EC450EE"/>
    <w:rsid w:val="5F27742B"/>
    <w:rsid w:val="5FDE21DF"/>
    <w:rsid w:val="5FFE018B"/>
    <w:rsid w:val="6045400C"/>
    <w:rsid w:val="606C77EB"/>
    <w:rsid w:val="612E684E"/>
    <w:rsid w:val="62F615EE"/>
    <w:rsid w:val="631A1780"/>
    <w:rsid w:val="63FD075A"/>
    <w:rsid w:val="665E1984"/>
    <w:rsid w:val="66D71736"/>
    <w:rsid w:val="675039C2"/>
    <w:rsid w:val="67B5357C"/>
    <w:rsid w:val="69243D8C"/>
    <w:rsid w:val="6A050368"/>
    <w:rsid w:val="6A331379"/>
    <w:rsid w:val="6A6A6101"/>
    <w:rsid w:val="6A6D488B"/>
    <w:rsid w:val="6AAB7162"/>
    <w:rsid w:val="6ABA62DE"/>
    <w:rsid w:val="6AC87D14"/>
    <w:rsid w:val="6B476E8A"/>
    <w:rsid w:val="6B91107D"/>
    <w:rsid w:val="6BD050D2"/>
    <w:rsid w:val="6C7A503E"/>
    <w:rsid w:val="6CE32BE3"/>
    <w:rsid w:val="6D2D20B0"/>
    <w:rsid w:val="6D2D3E5E"/>
    <w:rsid w:val="6DE035C6"/>
    <w:rsid w:val="6FA83C70"/>
    <w:rsid w:val="6FE32871"/>
    <w:rsid w:val="71461386"/>
    <w:rsid w:val="71C823A7"/>
    <w:rsid w:val="73AA445A"/>
    <w:rsid w:val="74E53270"/>
    <w:rsid w:val="74F636CF"/>
    <w:rsid w:val="750E27C7"/>
    <w:rsid w:val="75695C4F"/>
    <w:rsid w:val="75E023B5"/>
    <w:rsid w:val="777803CC"/>
    <w:rsid w:val="78031756"/>
    <w:rsid w:val="78450BF6"/>
    <w:rsid w:val="79030169"/>
    <w:rsid w:val="797352EE"/>
    <w:rsid w:val="79DD6C0C"/>
    <w:rsid w:val="7A0E3E2F"/>
    <w:rsid w:val="7A28432B"/>
    <w:rsid w:val="7A4A24F3"/>
    <w:rsid w:val="7A6D4434"/>
    <w:rsid w:val="7C7B2E38"/>
    <w:rsid w:val="7D871368"/>
    <w:rsid w:val="7DF06F0E"/>
    <w:rsid w:val="7E5A082B"/>
    <w:rsid w:val="7F6D5F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 w:type="paragraph" w:customStyle="1" w:styleId="8">
    <w:name w:val="列出段落12"/>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966</Words>
  <Characters>1162</Characters>
  <TotalTime>4</TotalTime>
  <ScaleCrop>false</ScaleCrop>
  <LinksUpToDate>false</LinksUpToDate>
  <CharactersWithSpaces>1469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张晨艺</dc:creator>
  <cp:lastModifiedBy>创信检测</cp:lastModifiedBy>
  <dcterms:modified xsi:type="dcterms:W3CDTF">2026-03-14T02:05:38Z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2024-06-17T09:13:55Z</vt:filetime>
  </property>
  <property fmtid="{D5CDD505-2E9C-101B-9397-08002B2CF9AE}" pid="4" name="KSOProductBuildVer">
    <vt:lpwstr>2052-12.1.0.25225</vt:lpwstr>
  </property>
  <property fmtid="{D5CDD505-2E9C-101B-9397-08002B2CF9AE}" pid="5" name="ICV">
    <vt:lpwstr>2ECC5F7EFEBA45D28F74DF06B10A0F6D_13</vt:lpwstr>
  </property>
  <property fmtid="{D5CDD505-2E9C-101B-9397-08002B2CF9AE}" pid="6" name="KSOTemplateDocerSaveRecord">
    <vt:lpwstr>eyJoZGlkIjoiOTdiNzZkOTk1ODVkM2NjNmU3NDdhZjI1NDFkMDc1ZDQiLCJ1c2VySWQiOiI5OTAwOTk0MDkifQ==</vt:lpwstr>
  </property>
</Properties>
</file>