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59D6BF">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lang w:eastAsia="zh-CN"/>
        </w:rPr>
        <w:t>枣庄市玩具</w:t>
      </w:r>
      <w:r>
        <w:rPr>
          <w:rFonts w:hint="eastAsia" w:ascii="宋体" w:hAnsi="宋体" w:eastAsia="宋体" w:cs="宋体"/>
          <w:b w:val="0"/>
          <w:bCs/>
          <w:color w:val="000000"/>
          <w:sz w:val="28"/>
          <w:szCs w:val="28"/>
        </w:rPr>
        <w:t>产品质量监督抽查实施细则</w:t>
      </w:r>
    </w:p>
    <w:p w14:paraId="3BF5626F">
      <w:pPr>
        <w:snapToGrid w:val="0"/>
        <w:spacing w:line="440" w:lineRule="exac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 抽样</w:t>
      </w:r>
    </w:p>
    <w:p w14:paraId="2201874A">
      <w:pPr>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1.1抽样方法</w:t>
      </w:r>
    </w:p>
    <w:p w14:paraId="729C9D8B">
      <w:pPr>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在被抽样生产者、销售者的待销产品中随机抽取有产品质量检验合格证明或者以其他形式表明合格的、近期生产的产品。随机数一般可使用随机数表、随机数骰子或扑克牌等方法产生。</w:t>
      </w:r>
    </w:p>
    <w:p w14:paraId="16F04849">
      <w:pPr>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1.2抽样基数</w:t>
      </w:r>
    </w:p>
    <w:p w14:paraId="1527C918">
      <w:pPr>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抽查样品基数满足抽样数量即可。</w:t>
      </w:r>
    </w:p>
    <w:p w14:paraId="2F5EF087">
      <w:pPr>
        <w:snapToGrid w:val="0"/>
        <w:spacing w:line="360" w:lineRule="auto"/>
        <w:rPr>
          <w:rFonts w:hint="eastAsia" w:ascii="宋体" w:hAnsi="宋体" w:eastAsia="宋体" w:cs="宋体"/>
          <w:color w:val="FF0000"/>
          <w:sz w:val="28"/>
          <w:szCs w:val="28"/>
        </w:rPr>
      </w:pPr>
      <w:r>
        <w:rPr>
          <w:rFonts w:hint="eastAsia" w:ascii="宋体" w:hAnsi="宋体" w:eastAsia="宋体" w:cs="宋体"/>
          <w:color w:val="000000"/>
          <w:sz w:val="28"/>
          <w:szCs w:val="28"/>
        </w:rPr>
        <w:t>1.3抽样数量</w:t>
      </w:r>
    </w:p>
    <w:p w14:paraId="4F8F981F">
      <w:pPr>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每批次产品抽取样品 3 个，其中 2 个作为检验样品，1 个作为备用样品。如遇特殊样品可适当增加检验和备样数量，以满足检测用最小样品量的要求。</w:t>
      </w:r>
    </w:p>
    <w:p w14:paraId="236E475B">
      <w:pPr>
        <w:pStyle w:val="3"/>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 检验项目及检测方法</w:t>
      </w:r>
    </w:p>
    <w:p w14:paraId="39B68722">
      <w:pPr>
        <w:snapToGrid w:val="0"/>
        <w:spacing w:line="440" w:lineRule="exact"/>
        <w:jc w:val="center"/>
        <w:rPr>
          <w:rFonts w:hint="eastAsia" w:ascii="宋体" w:hAnsi="宋体" w:eastAsia="宋体" w:cs="宋体"/>
          <w:b w:val="0"/>
          <w:bCs w:val="0"/>
          <w:color w:val="FF0000"/>
          <w:sz w:val="28"/>
          <w:szCs w:val="28"/>
        </w:rPr>
      </w:pPr>
      <w:r>
        <w:rPr>
          <w:rFonts w:hint="eastAsia" w:ascii="宋体" w:hAnsi="宋体" w:eastAsia="宋体" w:cs="宋体"/>
          <w:b w:val="0"/>
          <w:bCs w:val="0"/>
          <w:color w:val="000000"/>
          <w:sz w:val="28"/>
          <w:szCs w:val="28"/>
        </w:rPr>
        <w:t>表</w:t>
      </w:r>
      <w:r>
        <w:rPr>
          <w:rFonts w:hint="eastAsia" w:ascii="宋体" w:hAnsi="宋体" w:eastAsia="宋体" w:cs="宋体"/>
          <w:b w:val="0"/>
          <w:bCs w:val="0"/>
          <w:color w:val="000000"/>
          <w:sz w:val="28"/>
          <w:szCs w:val="28"/>
          <w:lang w:val="en-US" w:eastAsia="zh-CN"/>
        </w:rPr>
        <w:t>1</w:t>
      </w:r>
      <w:r>
        <w:rPr>
          <w:rFonts w:hint="eastAsia" w:ascii="宋体" w:hAnsi="宋体" w:eastAsia="宋体" w:cs="宋体"/>
          <w:b w:val="0"/>
          <w:bCs w:val="0"/>
          <w:color w:val="000000"/>
          <w:sz w:val="28"/>
          <w:szCs w:val="28"/>
        </w:rPr>
        <w:t xml:space="preserve"> </w:t>
      </w:r>
      <w:r>
        <w:rPr>
          <w:rFonts w:hint="eastAsia" w:ascii="宋体" w:hAnsi="宋体" w:eastAsia="宋体" w:cs="宋体"/>
          <w:b w:val="0"/>
          <w:bCs w:val="0"/>
          <w:color w:val="000000"/>
          <w:sz w:val="28"/>
          <w:szCs w:val="28"/>
          <w:lang w:eastAsia="zh-CN"/>
        </w:rPr>
        <w:t>：</w:t>
      </w:r>
      <w:r>
        <w:rPr>
          <w:rFonts w:hint="eastAsia" w:ascii="宋体" w:hAnsi="宋体" w:cs="宋体"/>
          <w:b w:val="0"/>
          <w:bCs w:val="0"/>
          <w:color w:val="000000"/>
          <w:sz w:val="28"/>
          <w:szCs w:val="28"/>
          <w:lang w:eastAsia="zh-CN"/>
        </w:rPr>
        <w:t>玩具</w:t>
      </w:r>
      <w:r>
        <w:rPr>
          <w:rFonts w:hint="eastAsia" w:ascii="宋体" w:hAnsi="宋体" w:eastAsia="宋体" w:cs="宋体"/>
          <w:b w:val="0"/>
          <w:bCs w:val="0"/>
          <w:color w:val="000000"/>
          <w:sz w:val="28"/>
          <w:szCs w:val="28"/>
        </w:rPr>
        <w:t>检验项目</w:t>
      </w:r>
    </w:p>
    <w:tbl>
      <w:tblPr>
        <w:tblStyle w:val="5"/>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3604"/>
        <w:gridCol w:w="3342"/>
      </w:tblGrid>
      <w:tr w14:paraId="4685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1CEDEE2E">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序号</w:t>
            </w:r>
          </w:p>
        </w:tc>
        <w:tc>
          <w:tcPr>
            <w:tcW w:w="3604" w:type="dxa"/>
            <w:tcBorders>
              <w:top w:val="single" w:color="auto" w:sz="4" w:space="0"/>
              <w:left w:val="nil"/>
              <w:bottom w:val="single" w:color="auto" w:sz="4" w:space="0"/>
              <w:right w:val="single" w:color="auto" w:sz="4" w:space="0"/>
            </w:tcBorders>
            <w:vAlign w:val="center"/>
          </w:tcPr>
          <w:p w14:paraId="2BE29CFC">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检验项目</w:t>
            </w:r>
          </w:p>
        </w:tc>
        <w:tc>
          <w:tcPr>
            <w:tcW w:w="3342" w:type="dxa"/>
            <w:tcBorders>
              <w:top w:val="single" w:color="auto" w:sz="4" w:space="0"/>
              <w:left w:val="nil"/>
              <w:bottom w:val="single" w:color="auto" w:sz="4" w:space="0"/>
              <w:right w:val="single" w:color="auto" w:sz="4" w:space="0"/>
            </w:tcBorders>
            <w:vAlign w:val="center"/>
          </w:tcPr>
          <w:p w14:paraId="486A8BEB">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检测方法</w:t>
            </w:r>
          </w:p>
        </w:tc>
      </w:tr>
      <w:tr w14:paraId="3D11A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7725D92F">
            <w:pPr>
              <w:adjustRightInd w:val="0"/>
              <w:snapToGrid w:val="0"/>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w:t>
            </w:r>
          </w:p>
        </w:tc>
        <w:tc>
          <w:tcPr>
            <w:tcW w:w="3604" w:type="dxa"/>
            <w:tcBorders>
              <w:top w:val="single" w:color="auto" w:sz="4" w:space="0"/>
              <w:left w:val="nil"/>
              <w:bottom w:val="single" w:color="auto" w:sz="4" w:space="0"/>
              <w:right w:val="single" w:color="auto" w:sz="4" w:space="0"/>
            </w:tcBorders>
            <w:vAlign w:val="center"/>
          </w:tcPr>
          <w:p w14:paraId="3A1E3B75">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机械和物理性能</w:t>
            </w:r>
          </w:p>
        </w:tc>
        <w:tc>
          <w:tcPr>
            <w:tcW w:w="3342" w:type="dxa"/>
            <w:tcBorders>
              <w:top w:val="single" w:color="auto" w:sz="4" w:space="0"/>
              <w:left w:val="nil"/>
              <w:right w:val="single" w:color="auto" w:sz="4" w:space="0"/>
            </w:tcBorders>
            <w:vAlign w:val="center"/>
          </w:tcPr>
          <w:p w14:paraId="67E9043E">
            <w:pPr>
              <w:keepNext w:val="0"/>
              <w:keepLines w:val="0"/>
              <w:widowControl/>
              <w:suppressLineNumbers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6675.1</w:t>
            </w:r>
          </w:p>
          <w:p w14:paraId="5EF9C967">
            <w:pPr>
              <w:keepNext w:val="0"/>
              <w:keepLines w:val="0"/>
              <w:widowControl/>
              <w:suppressLineNumbers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GB6675.2</w:t>
            </w:r>
          </w:p>
        </w:tc>
      </w:tr>
      <w:tr w14:paraId="349D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1491EA8D">
            <w:pPr>
              <w:adjustRightInd w:val="0"/>
              <w:snapToGrid w:val="0"/>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w:t>
            </w:r>
          </w:p>
        </w:tc>
        <w:tc>
          <w:tcPr>
            <w:tcW w:w="3604" w:type="dxa"/>
            <w:tcBorders>
              <w:top w:val="single" w:color="auto" w:sz="4" w:space="0"/>
              <w:left w:val="nil"/>
              <w:bottom w:val="single" w:color="auto" w:sz="4" w:space="0"/>
              <w:right w:val="single" w:color="auto" w:sz="4" w:space="0"/>
            </w:tcBorders>
            <w:vAlign w:val="center"/>
          </w:tcPr>
          <w:p w14:paraId="4124C01A">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易燃性能</w:t>
            </w:r>
          </w:p>
        </w:tc>
        <w:tc>
          <w:tcPr>
            <w:tcW w:w="3342" w:type="dxa"/>
            <w:tcBorders>
              <w:left w:val="nil"/>
              <w:right w:val="single" w:color="auto" w:sz="4" w:space="0"/>
            </w:tcBorders>
            <w:vAlign w:val="center"/>
          </w:tcPr>
          <w:p w14:paraId="480FC04F">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6675.1</w:t>
            </w:r>
          </w:p>
          <w:p w14:paraId="48296E1A">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GB6675.4</w:t>
            </w:r>
          </w:p>
        </w:tc>
      </w:tr>
      <w:tr w14:paraId="794B8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1910696F">
            <w:pPr>
              <w:adjustRightInd w:val="0"/>
              <w:snapToGrid w:val="0"/>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w:t>
            </w:r>
          </w:p>
        </w:tc>
        <w:tc>
          <w:tcPr>
            <w:tcW w:w="3604" w:type="dxa"/>
            <w:tcBorders>
              <w:top w:val="single" w:color="auto" w:sz="4" w:space="0"/>
              <w:left w:val="nil"/>
              <w:bottom w:val="single" w:color="auto" w:sz="4" w:space="0"/>
              <w:right w:val="single" w:color="auto" w:sz="4" w:space="0"/>
            </w:tcBorders>
            <w:vAlign w:val="center"/>
          </w:tcPr>
          <w:p w14:paraId="3C2496EB">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化学性能</w:t>
            </w:r>
          </w:p>
        </w:tc>
        <w:tc>
          <w:tcPr>
            <w:tcW w:w="3342" w:type="dxa"/>
            <w:tcBorders>
              <w:left w:val="nil"/>
              <w:right w:val="single" w:color="auto" w:sz="4" w:space="0"/>
            </w:tcBorders>
            <w:vAlign w:val="center"/>
          </w:tcPr>
          <w:p w14:paraId="3D5D6079">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GB</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6675.1</w:t>
            </w:r>
          </w:p>
        </w:tc>
      </w:tr>
      <w:tr w14:paraId="1202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53E670D9">
            <w:pPr>
              <w:adjustRightInd w:val="0"/>
              <w:snapToGrid w:val="0"/>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w:t>
            </w:r>
          </w:p>
        </w:tc>
        <w:tc>
          <w:tcPr>
            <w:tcW w:w="3604" w:type="dxa"/>
            <w:tcBorders>
              <w:top w:val="single" w:color="auto" w:sz="4" w:space="0"/>
              <w:left w:val="nil"/>
              <w:bottom w:val="single" w:color="auto" w:sz="4" w:space="0"/>
              <w:right w:val="single" w:color="auto" w:sz="4" w:space="0"/>
            </w:tcBorders>
            <w:vAlign w:val="center"/>
          </w:tcPr>
          <w:p w14:paraId="1B1D4CC4">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电气性能</w:t>
            </w:r>
          </w:p>
        </w:tc>
        <w:tc>
          <w:tcPr>
            <w:tcW w:w="3342" w:type="dxa"/>
            <w:tcBorders>
              <w:left w:val="nil"/>
              <w:right w:val="single" w:color="auto" w:sz="4" w:space="0"/>
            </w:tcBorders>
            <w:vAlign w:val="center"/>
          </w:tcPr>
          <w:p w14:paraId="07F7CCDA">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6675.1</w:t>
            </w:r>
          </w:p>
        </w:tc>
      </w:tr>
      <w:tr w14:paraId="3DA18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124219E3">
            <w:pPr>
              <w:adjustRightInd w:val="0"/>
              <w:snapToGrid w:val="0"/>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5</w:t>
            </w:r>
          </w:p>
        </w:tc>
        <w:tc>
          <w:tcPr>
            <w:tcW w:w="3604" w:type="dxa"/>
            <w:tcBorders>
              <w:top w:val="single" w:color="auto" w:sz="4" w:space="0"/>
              <w:left w:val="nil"/>
              <w:bottom w:val="single" w:color="auto" w:sz="4" w:space="0"/>
              <w:right w:val="single" w:color="auto" w:sz="4" w:space="0"/>
            </w:tcBorders>
            <w:vAlign w:val="center"/>
          </w:tcPr>
          <w:p w14:paraId="3F2760C0">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卫生要求</w:t>
            </w:r>
          </w:p>
        </w:tc>
        <w:tc>
          <w:tcPr>
            <w:tcW w:w="3342" w:type="dxa"/>
            <w:tcBorders>
              <w:left w:val="nil"/>
              <w:right w:val="single" w:color="auto" w:sz="4" w:space="0"/>
            </w:tcBorders>
            <w:vAlign w:val="center"/>
          </w:tcPr>
          <w:p w14:paraId="66C76A0D">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6675.1</w:t>
            </w:r>
          </w:p>
        </w:tc>
      </w:tr>
    </w:tbl>
    <w:p w14:paraId="36B4B2C7">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注：执行企业标准、团体标准、地方标准的产品，检验项目参照上述内容执行。</w:t>
      </w:r>
    </w:p>
    <w:p w14:paraId="39CCFD60">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凡是注日期的文件，其随后所有的修改单（不包括勘误的内容）或修订版不适用于本细则。凡是不注日期的文件，其最新版本适用于本细则。</w:t>
      </w:r>
    </w:p>
    <w:p w14:paraId="3783464F">
      <w:pPr>
        <w:spacing w:line="360" w:lineRule="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 判定规则</w:t>
      </w:r>
    </w:p>
    <w:p w14:paraId="74D810BF">
      <w:pPr>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3.1标准依据</w:t>
      </w:r>
    </w:p>
    <w:p w14:paraId="1CE1AAB3">
      <w:pPr>
        <w:keepNext w:val="0"/>
        <w:keepLines w:val="0"/>
        <w:widowControl/>
        <w:suppressLineNumbers w:val="0"/>
        <w:ind w:firstLine="560" w:firstLineChars="200"/>
        <w:jc w:val="left"/>
        <w:rPr>
          <w:rFonts w:hint="eastAsia" w:ascii="宋体" w:hAnsi="宋体" w:eastAsia="宋体" w:cs="宋体"/>
          <w:sz w:val="28"/>
          <w:szCs w:val="28"/>
          <w:lang w:val="en-US"/>
        </w:rPr>
      </w:pPr>
      <w:r>
        <w:rPr>
          <w:rFonts w:hint="eastAsia" w:ascii="宋体" w:hAnsi="宋体" w:eastAsia="宋体" w:cs="宋体"/>
          <w:color w:val="000000"/>
          <w:kern w:val="0"/>
          <w:sz w:val="28"/>
          <w:szCs w:val="28"/>
          <w:lang w:val="en-US" w:eastAsia="zh-CN" w:bidi="ar"/>
        </w:rPr>
        <w:t>GB 6675.1 玩具安全 第1部分：基本规范</w:t>
      </w:r>
    </w:p>
    <w:p w14:paraId="22EA9FE9">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GB 6675.2 玩具安全 第2部分：机械与物理性能</w:t>
      </w:r>
    </w:p>
    <w:p w14:paraId="1E1E901F">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GB 6675.4玩具安全 第4部分：特定元素的迁移</w:t>
      </w:r>
    </w:p>
    <w:p w14:paraId="364FA18B">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相关的法律、行政法规、部门规章、规范性文件</w:t>
      </w:r>
    </w:p>
    <w:p w14:paraId="362668B2">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现行有效的企业标准、团体标准、地方标准及产品明示质量要求</w:t>
      </w:r>
    </w:p>
    <w:p w14:paraId="4ACF4286">
      <w:pPr>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3.2判定原则</w:t>
      </w:r>
      <w:bookmarkStart w:id="0" w:name="_GoBack"/>
      <w:bookmarkEnd w:id="0"/>
    </w:p>
    <w:p w14:paraId="7E14339F">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sz w:val="28"/>
          <w:szCs w:val="28"/>
        </w:rPr>
        <w:t>经检验，检验项目全部合格，判定为被抽查产品所检项目合格；</w:t>
      </w:r>
      <w:r>
        <w:rPr>
          <w:rFonts w:hint="eastAsia" w:ascii="宋体" w:hAnsi="宋体" w:eastAsia="宋体" w:cs="宋体"/>
          <w:color w:val="000000"/>
          <w:sz w:val="28"/>
          <w:szCs w:val="28"/>
        </w:rPr>
        <w:t>检验项目中任一项或一项以上不合格，判定为被抽查产品不合格。</w:t>
      </w:r>
    </w:p>
    <w:p w14:paraId="3E493A7F">
      <w:pPr>
        <w:spacing w:line="360" w:lineRule="auto"/>
        <w:ind w:firstLine="557" w:firstLineChars="199"/>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若被检产品明示的质量要求高于本细则中检验项目依据的标准要求时，应按被检产品明示的质量要求判定。</w:t>
      </w:r>
    </w:p>
    <w:p w14:paraId="68805FEB">
      <w:pPr>
        <w:spacing w:line="360" w:lineRule="auto"/>
        <w:ind w:firstLine="557" w:firstLineChars="199"/>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若被检产品明示的质量要求低于本细则中检验项目依据的强制性标准要求时，应按照强制性标准要求判定。</w:t>
      </w:r>
    </w:p>
    <w:p w14:paraId="78BDF0DF">
      <w:pPr>
        <w:spacing w:line="360" w:lineRule="auto"/>
        <w:ind w:firstLine="557" w:firstLineChars="199"/>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若被检产品明示的质量要求低于或包含细则中检验项目依据的推荐性标准要求时，应以被检产品明示的质量要求判定，但应在检验报告备注中进行说明。</w:t>
      </w:r>
    </w:p>
    <w:p w14:paraId="37D69EB7">
      <w:pPr>
        <w:spacing w:line="360" w:lineRule="auto"/>
        <w:ind w:firstLine="557" w:firstLineChars="199"/>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若被检产品明示的质量要求缺少本细则中检验项目依据的强制性标准要求时，应按照强制性标准要求判定。</w:t>
      </w:r>
    </w:p>
    <w:p w14:paraId="2EF87E06">
      <w:pPr>
        <w:spacing w:line="360" w:lineRule="auto"/>
        <w:ind w:firstLine="557" w:firstLineChars="199"/>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若被检产品明示的质量要求缺少本细则中检验项目依据的推荐性标准要求时，该项目不参与判定，但应在检验报告备注中进行说明。</w:t>
      </w:r>
    </w:p>
    <w:p w14:paraId="37DC8E8B">
      <w:pPr>
        <w:spacing w:line="360" w:lineRule="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4 异议复检 </w:t>
      </w:r>
    </w:p>
    <w:p w14:paraId="06D9CD09">
      <w:pPr>
        <w:spacing w:line="360" w:lineRule="auto"/>
        <w:ind w:firstLine="280" w:firstLineChars="100"/>
        <w:rPr>
          <w:rFonts w:hint="eastAsia" w:ascii="宋体" w:hAnsi="宋体" w:eastAsia="宋体" w:cs="宋体"/>
          <w:sz w:val="28"/>
          <w:szCs w:val="28"/>
          <w:highlight w:val="yellow"/>
        </w:rPr>
      </w:pPr>
      <w:r>
        <w:rPr>
          <w:rFonts w:hint="eastAsia" w:ascii="宋体" w:hAnsi="宋体" w:eastAsia="宋体" w:cs="宋体"/>
          <w:color w:val="000000"/>
          <w:sz w:val="28"/>
          <w:szCs w:val="28"/>
        </w:rPr>
        <w:t>本细则中确定的全部检验项目，采用备用样品进行复检。</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zMTZiYTIyNDNhZjgzZTQ4YWIzZGQyNzVkODA1NjgifQ=="/>
    <w:docVar w:name="KSO_WPS_MARK_KEY" w:val="826e3fbe-1e4c-4415-83ef-81017550a59c"/>
  </w:docVars>
  <w:rsids>
    <w:rsidRoot w:val="00D20679"/>
    <w:rsid w:val="00063DD3"/>
    <w:rsid w:val="001863C4"/>
    <w:rsid w:val="00276E33"/>
    <w:rsid w:val="00343254"/>
    <w:rsid w:val="00363CCE"/>
    <w:rsid w:val="003C2423"/>
    <w:rsid w:val="00426E68"/>
    <w:rsid w:val="005D4DF9"/>
    <w:rsid w:val="00702323"/>
    <w:rsid w:val="007236AF"/>
    <w:rsid w:val="008652D9"/>
    <w:rsid w:val="009373EF"/>
    <w:rsid w:val="00994753"/>
    <w:rsid w:val="00AF6F53"/>
    <w:rsid w:val="00C418C9"/>
    <w:rsid w:val="00D16530"/>
    <w:rsid w:val="00D20679"/>
    <w:rsid w:val="00EA1E84"/>
    <w:rsid w:val="00EA7B9C"/>
    <w:rsid w:val="00EC28ED"/>
    <w:rsid w:val="015772A4"/>
    <w:rsid w:val="01AA3877"/>
    <w:rsid w:val="02317AF5"/>
    <w:rsid w:val="02BA3F8E"/>
    <w:rsid w:val="02D32397"/>
    <w:rsid w:val="032C4E8C"/>
    <w:rsid w:val="03A8028B"/>
    <w:rsid w:val="03F86B1C"/>
    <w:rsid w:val="044E2BE0"/>
    <w:rsid w:val="049727D9"/>
    <w:rsid w:val="054162A1"/>
    <w:rsid w:val="05663F59"/>
    <w:rsid w:val="05F45A09"/>
    <w:rsid w:val="06BD404D"/>
    <w:rsid w:val="079B3139"/>
    <w:rsid w:val="07B94814"/>
    <w:rsid w:val="07D93108"/>
    <w:rsid w:val="08395955"/>
    <w:rsid w:val="086A3D60"/>
    <w:rsid w:val="09287EA3"/>
    <w:rsid w:val="092B7994"/>
    <w:rsid w:val="098D03F3"/>
    <w:rsid w:val="09AB63DF"/>
    <w:rsid w:val="09E518F1"/>
    <w:rsid w:val="0A59408D"/>
    <w:rsid w:val="0AD44FC7"/>
    <w:rsid w:val="0C0F0EA7"/>
    <w:rsid w:val="0CA02447"/>
    <w:rsid w:val="0CFF53BF"/>
    <w:rsid w:val="0DD423A8"/>
    <w:rsid w:val="0DF540CC"/>
    <w:rsid w:val="0F31382A"/>
    <w:rsid w:val="0F60092D"/>
    <w:rsid w:val="0F933B9D"/>
    <w:rsid w:val="0FFD54BA"/>
    <w:rsid w:val="105772C0"/>
    <w:rsid w:val="10F3513F"/>
    <w:rsid w:val="115B693C"/>
    <w:rsid w:val="128B4FFF"/>
    <w:rsid w:val="132A0CBC"/>
    <w:rsid w:val="133833D9"/>
    <w:rsid w:val="139B3968"/>
    <w:rsid w:val="14E530ED"/>
    <w:rsid w:val="15D95027"/>
    <w:rsid w:val="15E2762C"/>
    <w:rsid w:val="15E74C42"/>
    <w:rsid w:val="16B94831"/>
    <w:rsid w:val="16BF796D"/>
    <w:rsid w:val="16F70EB5"/>
    <w:rsid w:val="17143033"/>
    <w:rsid w:val="172F4AF3"/>
    <w:rsid w:val="17334527"/>
    <w:rsid w:val="174658D3"/>
    <w:rsid w:val="18025D64"/>
    <w:rsid w:val="180E64B6"/>
    <w:rsid w:val="18DA0A8E"/>
    <w:rsid w:val="196640D0"/>
    <w:rsid w:val="1A18363D"/>
    <w:rsid w:val="1A41067B"/>
    <w:rsid w:val="1A4C32C6"/>
    <w:rsid w:val="1AC9700C"/>
    <w:rsid w:val="1B481CDF"/>
    <w:rsid w:val="1BB43819"/>
    <w:rsid w:val="1C5B1EE6"/>
    <w:rsid w:val="1CAF0084"/>
    <w:rsid w:val="1D097B94"/>
    <w:rsid w:val="1D750D86"/>
    <w:rsid w:val="1F941997"/>
    <w:rsid w:val="200D1749"/>
    <w:rsid w:val="2020322B"/>
    <w:rsid w:val="207D242B"/>
    <w:rsid w:val="20DF30E6"/>
    <w:rsid w:val="21274A8D"/>
    <w:rsid w:val="221072CF"/>
    <w:rsid w:val="221F7512"/>
    <w:rsid w:val="22325F30"/>
    <w:rsid w:val="223A3849"/>
    <w:rsid w:val="22BE6D2B"/>
    <w:rsid w:val="239161EE"/>
    <w:rsid w:val="24303C58"/>
    <w:rsid w:val="243B4AD7"/>
    <w:rsid w:val="25F807A6"/>
    <w:rsid w:val="265005E2"/>
    <w:rsid w:val="2677273A"/>
    <w:rsid w:val="27C9064C"/>
    <w:rsid w:val="283D279D"/>
    <w:rsid w:val="2858552C"/>
    <w:rsid w:val="28A864B3"/>
    <w:rsid w:val="28C01A4F"/>
    <w:rsid w:val="2B1E2A5D"/>
    <w:rsid w:val="2B28751A"/>
    <w:rsid w:val="2B4C1378"/>
    <w:rsid w:val="2B5C5333"/>
    <w:rsid w:val="2C736DD8"/>
    <w:rsid w:val="2C882884"/>
    <w:rsid w:val="2D8E211C"/>
    <w:rsid w:val="2DB55DF1"/>
    <w:rsid w:val="2DC518B5"/>
    <w:rsid w:val="2E5A0250"/>
    <w:rsid w:val="2E8250B1"/>
    <w:rsid w:val="2E8452CD"/>
    <w:rsid w:val="2E89643F"/>
    <w:rsid w:val="2EF44200"/>
    <w:rsid w:val="2F9F7B5B"/>
    <w:rsid w:val="301B57BD"/>
    <w:rsid w:val="307153DD"/>
    <w:rsid w:val="3112096E"/>
    <w:rsid w:val="31374878"/>
    <w:rsid w:val="315C42DF"/>
    <w:rsid w:val="320F4EAD"/>
    <w:rsid w:val="32222E32"/>
    <w:rsid w:val="324504BA"/>
    <w:rsid w:val="33D91C17"/>
    <w:rsid w:val="34A71D15"/>
    <w:rsid w:val="353A66E5"/>
    <w:rsid w:val="35956011"/>
    <w:rsid w:val="360A4309"/>
    <w:rsid w:val="3627310D"/>
    <w:rsid w:val="36394BEF"/>
    <w:rsid w:val="364041CF"/>
    <w:rsid w:val="37397DA9"/>
    <w:rsid w:val="37BC7885"/>
    <w:rsid w:val="398465AD"/>
    <w:rsid w:val="3A4F2C33"/>
    <w:rsid w:val="3AE0388B"/>
    <w:rsid w:val="3AEE41FA"/>
    <w:rsid w:val="3AF9494C"/>
    <w:rsid w:val="3BB014AF"/>
    <w:rsid w:val="3BEE61FC"/>
    <w:rsid w:val="3BF03FA1"/>
    <w:rsid w:val="3C047A4D"/>
    <w:rsid w:val="3C4340D1"/>
    <w:rsid w:val="3C495460"/>
    <w:rsid w:val="3C655E40"/>
    <w:rsid w:val="3CD72A6B"/>
    <w:rsid w:val="3D0106F2"/>
    <w:rsid w:val="3EBE0387"/>
    <w:rsid w:val="3F837AE3"/>
    <w:rsid w:val="409C46F8"/>
    <w:rsid w:val="40AA0BC3"/>
    <w:rsid w:val="40DC4251"/>
    <w:rsid w:val="41474664"/>
    <w:rsid w:val="41A41AB6"/>
    <w:rsid w:val="41E579D9"/>
    <w:rsid w:val="42415557"/>
    <w:rsid w:val="4283791D"/>
    <w:rsid w:val="429F227D"/>
    <w:rsid w:val="43122A4F"/>
    <w:rsid w:val="43E048FB"/>
    <w:rsid w:val="4467501D"/>
    <w:rsid w:val="44F468B0"/>
    <w:rsid w:val="45482758"/>
    <w:rsid w:val="45F60406"/>
    <w:rsid w:val="466A4950"/>
    <w:rsid w:val="46AC4F69"/>
    <w:rsid w:val="46C73B51"/>
    <w:rsid w:val="471C61D6"/>
    <w:rsid w:val="4723347D"/>
    <w:rsid w:val="474D22A8"/>
    <w:rsid w:val="49695393"/>
    <w:rsid w:val="498D72D3"/>
    <w:rsid w:val="49B605D8"/>
    <w:rsid w:val="4A631DE2"/>
    <w:rsid w:val="4AB663B6"/>
    <w:rsid w:val="4AE178D7"/>
    <w:rsid w:val="4AEA6060"/>
    <w:rsid w:val="4C6A4E86"/>
    <w:rsid w:val="4CEC2563"/>
    <w:rsid w:val="4EEC05F8"/>
    <w:rsid w:val="4FBA6948"/>
    <w:rsid w:val="4FFA0AF3"/>
    <w:rsid w:val="50081462"/>
    <w:rsid w:val="5100038B"/>
    <w:rsid w:val="51281690"/>
    <w:rsid w:val="512F2A1E"/>
    <w:rsid w:val="515C2DD9"/>
    <w:rsid w:val="519531C9"/>
    <w:rsid w:val="51DA6E2E"/>
    <w:rsid w:val="52AA2CA4"/>
    <w:rsid w:val="53071EA5"/>
    <w:rsid w:val="531714D2"/>
    <w:rsid w:val="538434F5"/>
    <w:rsid w:val="54297BF9"/>
    <w:rsid w:val="54556C40"/>
    <w:rsid w:val="54727784"/>
    <w:rsid w:val="54AD082A"/>
    <w:rsid w:val="55886BA1"/>
    <w:rsid w:val="55AF2380"/>
    <w:rsid w:val="56941CA1"/>
    <w:rsid w:val="56BC2FA6"/>
    <w:rsid w:val="571B41B0"/>
    <w:rsid w:val="57272B15"/>
    <w:rsid w:val="57F64296"/>
    <w:rsid w:val="58550FBC"/>
    <w:rsid w:val="5895585D"/>
    <w:rsid w:val="58BF6D7E"/>
    <w:rsid w:val="595A2602"/>
    <w:rsid w:val="59863746"/>
    <w:rsid w:val="59AC10B0"/>
    <w:rsid w:val="5A5534F6"/>
    <w:rsid w:val="5AAE0E58"/>
    <w:rsid w:val="5AF70A51"/>
    <w:rsid w:val="5B22484B"/>
    <w:rsid w:val="5B6836FC"/>
    <w:rsid w:val="5BB71F8E"/>
    <w:rsid w:val="5BCD355F"/>
    <w:rsid w:val="5BFD3E45"/>
    <w:rsid w:val="5C49708A"/>
    <w:rsid w:val="5C4B1054"/>
    <w:rsid w:val="5C69772C"/>
    <w:rsid w:val="5C8400C2"/>
    <w:rsid w:val="5D1A27D4"/>
    <w:rsid w:val="5D20178F"/>
    <w:rsid w:val="5D775890"/>
    <w:rsid w:val="5F9920D6"/>
    <w:rsid w:val="5FE01AB3"/>
    <w:rsid w:val="60D1764E"/>
    <w:rsid w:val="60E92BEA"/>
    <w:rsid w:val="60EF1767"/>
    <w:rsid w:val="612956DC"/>
    <w:rsid w:val="612E684E"/>
    <w:rsid w:val="617821BF"/>
    <w:rsid w:val="62053A53"/>
    <w:rsid w:val="622D6B06"/>
    <w:rsid w:val="62A56FE4"/>
    <w:rsid w:val="631A52DC"/>
    <w:rsid w:val="631D6B7A"/>
    <w:rsid w:val="63CC234F"/>
    <w:rsid w:val="64032214"/>
    <w:rsid w:val="644665A5"/>
    <w:rsid w:val="64A70DF2"/>
    <w:rsid w:val="64A86918"/>
    <w:rsid w:val="65206DF6"/>
    <w:rsid w:val="65890148"/>
    <w:rsid w:val="66C0263F"/>
    <w:rsid w:val="67BE358C"/>
    <w:rsid w:val="67DD0FCE"/>
    <w:rsid w:val="680A62EC"/>
    <w:rsid w:val="682E2526"/>
    <w:rsid w:val="687C5F02"/>
    <w:rsid w:val="69AA4EE0"/>
    <w:rsid w:val="6AA638F9"/>
    <w:rsid w:val="6ACA3A8C"/>
    <w:rsid w:val="6BD36970"/>
    <w:rsid w:val="6C2076DB"/>
    <w:rsid w:val="6C276CBC"/>
    <w:rsid w:val="6C6770B8"/>
    <w:rsid w:val="6CAB55E6"/>
    <w:rsid w:val="6CE30E35"/>
    <w:rsid w:val="6CFB3DD0"/>
    <w:rsid w:val="6D187086"/>
    <w:rsid w:val="6D9D5488"/>
    <w:rsid w:val="6DD43E30"/>
    <w:rsid w:val="6EC10D02"/>
    <w:rsid w:val="71176147"/>
    <w:rsid w:val="71CC633B"/>
    <w:rsid w:val="730218E9"/>
    <w:rsid w:val="733046A8"/>
    <w:rsid w:val="739F35DC"/>
    <w:rsid w:val="73E334C8"/>
    <w:rsid w:val="743326A2"/>
    <w:rsid w:val="74392B58"/>
    <w:rsid w:val="748527D2"/>
    <w:rsid w:val="74980757"/>
    <w:rsid w:val="74FD4A5E"/>
    <w:rsid w:val="74FF07D6"/>
    <w:rsid w:val="7521074C"/>
    <w:rsid w:val="752124FA"/>
    <w:rsid w:val="75582134"/>
    <w:rsid w:val="75A66EA3"/>
    <w:rsid w:val="75B73142"/>
    <w:rsid w:val="75E4177A"/>
    <w:rsid w:val="76C53359"/>
    <w:rsid w:val="77B27D81"/>
    <w:rsid w:val="796B01E8"/>
    <w:rsid w:val="7A3031E0"/>
    <w:rsid w:val="7A613399"/>
    <w:rsid w:val="7A707A80"/>
    <w:rsid w:val="7BA2010D"/>
    <w:rsid w:val="7BD858DD"/>
    <w:rsid w:val="7C686C61"/>
    <w:rsid w:val="7CE7227B"/>
    <w:rsid w:val="7DD56578"/>
    <w:rsid w:val="7DFD5ACF"/>
    <w:rsid w:val="7EEB3B79"/>
    <w:rsid w:val="7F364DF4"/>
    <w:rsid w:val="7F604567"/>
    <w:rsid w:val="7F82628B"/>
    <w:rsid w:val="FB7F9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8"/>
    <w:qFormat/>
    <w:uiPriority w:val="99"/>
    <w:pPr>
      <w:jc w:val="left"/>
    </w:pPr>
  </w:style>
  <w:style w:type="paragraph" w:styleId="4">
    <w:name w:val="Balloon Text"/>
    <w:basedOn w:val="1"/>
    <w:link w:val="9"/>
    <w:qFormat/>
    <w:uiPriority w:val="0"/>
    <w:rPr>
      <w:rFonts w:asciiTheme="minorHAnsi" w:hAnsiTheme="minorHAnsi" w:eastAsiaTheme="minorEastAsia" w:cstheme="minorBidi"/>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文字 字符"/>
    <w:basedOn w:val="7"/>
    <w:link w:val="3"/>
    <w:qFormat/>
    <w:uiPriority w:val="99"/>
    <w:rPr>
      <w:rFonts w:ascii="Calibri" w:hAnsi="Calibri" w:eastAsia="宋体" w:cs="Times New Roman"/>
    </w:rPr>
  </w:style>
  <w:style w:type="character" w:customStyle="1" w:styleId="9">
    <w:name w:val="批注框文本 字符"/>
    <w:basedOn w:val="7"/>
    <w:link w:val="4"/>
    <w:qFormat/>
    <w:uiPriority w:val="0"/>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925</Words>
  <Characters>997</Characters>
  <Lines>29</Lines>
  <Paragraphs>8</Paragraphs>
  <TotalTime>7</TotalTime>
  <ScaleCrop>false</ScaleCrop>
  <LinksUpToDate>false</LinksUpToDate>
  <CharactersWithSpaces>1021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2022-11-25T21:12:00Z</dcterms:created>
  <dc:creator>Wheng</dc:creator>
  <cp:lastModifiedBy>创信检测</cp:lastModifiedBy>
  <dcterms:modified xsi:type="dcterms:W3CDTF">2026-03-13T03:40:49Z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63186490C46445A0B4A784926FCF2D8F</vt:lpwstr>
  </property>
  <property fmtid="{D5CDD505-2E9C-101B-9397-08002B2CF9AE}" pid="4" name="KSOTemplateDocerSaveRecord">
    <vt:lpwstr>eyJoZGlkIjoiOTdiNzZkOTk1ODVkM2NjNmU3NDdhZjI1NDFkMDc1ZDQiLCJ1c2VySWQiOiI5OTAwOTk0MDkifQ==</vt:lpwstr>
  </property>
</Properties>
</file>