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DA5CA">
      <w:pPr>
        <w:pStyle w:val="3"/>
        <w:spacing w:before="56"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eastAsia="zh-CN"/>
        </w:rPr>
        <w:t>枣庄市</w:t>
      </w:r>
      <w:r>
        <w:rPr>
          <w:rFonts w:hint="eastAsia" w:asciiTheme="minorEastAsia" w:hAnsiTheme="minorEastAsia" w:eastAsiaTheme="minorEastAsia" w:cstheme="minorEastAsia"/>
          <w:b w:val="0"/>
          <w:bCs w:val="0"/>
          <w:spacing w:val="-4"/>
          <w:sz w:val="28"/>
          <w:szCs w:val="28"/>
          <w:lang w:val="en-US" w:eastAsia="zh-CN"/>
        </w:rPr>
        <w:t>瓶装液化石油气调压器</w:t>
      </w:r>
      <w:r>
        <w:rPr>
          <w:rFonts w:hint="eastAsia" w:asciiTheme="minorEastAsia" w:hAnsiTheme="minorEastAsia" w:eastAsiaTheme="minorEastAsia" w:cstheme="minorEastAsia"/>
          <w:b w:val="0"/>
          <w:bCs w:val="0"/>
          <w:spacing w:val="-4"/>
          <w:sz w:val="28"/>
          <w:szCs w:val="28"/>
        </w:rPr>
        <w:t>产品质量监督抽查实施细则</w:t>
      </w:r>
    </w:p>
    <w:p w14:paraId="70EF9C3C">
      <w:pPr>
        <w:pStyle w:val="3"/>
        <w:spacing w:before="200" w:line="228" w:lineRule="auto"/>
        <w:ind w:left="13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15"/>
          <w:sz w:val="28"/>
          <w:szCs w:val="28"/>
        </w:rPr>
        <w:t xml:space="preserve"> </w:t>
      </w:r>
      <w:r>
        <w:rPr>
          <w:rFonts w:hint="eastAsia" w:asciiTheme="minorEastAsia" w:hAnsiTheme="minorEastAsia" w:eastAsiaTheme="minorEastAsia" w:cstheme="minorEastAsia"/>
          <w:b w:val="0"/>
          <w:bCs w:val="0"/>
          <w:spacing w:val="-5"/>
          <w:sz w:val="28"/>
          <w:szCs w:val="28"/>
        </w:rPr>
        <w:t>抽样</w:t>
      </w:r>
    </w:p>
    <w:p w14:paraId="3DA4C83D">
      <w:pPr>
        <w:pStyle w:val="3"/>
        <w:spacing w:before="161" w:line="228" w:lineRule="auto"/>
        <w:ind w:left="13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1.1</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抽样方法</w:t>
      </w:r>
    </w:p>
    <w:p w14:paraId="3B9C65A6">
      <w:pPr>
        <w:pStyle w:val="3"/>
        <w:spacing w:before="163" w:line="227" w:lineRule="auto"/>
        <w:ind w:left="564"/>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以随机抽样的方式在被抽样生产者、销售者的待销产品中抽取。</w:t>
      </w:r>
    </w:p>
    <w:p w14:paraId="27590F66">
      <w:pPr>
        <w:pStyle w:val="3"/>
        <w:spacing w:before="257" w:line="228" w:lineRule="auto"/>
        <w:ind w:firstLine="286" w:firstLineChars="1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1.2</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抽样基数</w:t>
      </w:r>
    </w:p>
    <w:p w14:paraId="53C6E731">
      <w:pPr>
        <w:pStyle w:val="3"/>
        <w:spacing w:before="125" w:line="228" w:lineRule="auto"/>
        <w:ind w:left="540"/>
        <w:rPr>
          <w:rFonts w:hint="eastAsia" w:asciiTheme="minorEastAsia" w:hAnsiTheme="minorEastAsia" w:eastAsiaTheme="minorEastAsia" w:cstheme="minorEastAsia"/>
          <w:b w:val="0"/>
          <w:bCs w:val="0"/>
          <w:spacing w:val="8"/>
          <w:sz w:val="28"/>
          <w:szCs w:val="28"/>
        </w:rPr>
      </w:pPr>
      <w:r>
        <w:rPr>
          <w:rFonts w:hint="eastAsia" w:asciiTheme="minorEastAsia" w:hAnsiTheme="minorEastAsia" w:eastAsiaTheme="minorEastAsia" w:cstheme="minorEastAsia"/>
          <w:b w:val="0"/>
          <w:bCs w:val="0"/>
          <w:spacing w:val="8"/>
          <w:sz w:val="28"/>
          <w:szCs w:val="28"/>
        </w:rPr>
        <w:t>抽查样品基数满足抽样数量即可。</w:t>
      </w:r>
    </w:p>
    <w:p w14:paraId="3F4ACEA9">
      <w:pPr>
        <w:pStyle w:val="3"/>
        <w:spacing w:before="257" w:line="228" w:lineRule="auto"/>
        <w:ind w:firstLine="286" w:firstLineChars="100"/>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1.</w:t>
      </w:r>
      <w:r>
        <w:rPr>
          <w:rFonts w:hint="eastAsia" w:asciiTheme="minorEastAsia" w:hAnsiTheme="minorEastAsia" w:eastAsiaTheme="minorEastAsia" w:cstheme="minorEastAsia"/>
          <w:b w:val="0"/>
          <w:bCs w:val="0"/>
          <w:spacing w:val="3"/>
          <w:sz w:val="28"/>
          <w:szCs w:val="28"/>
          <w:lang w:val="en-US" w:eastAsia="zh-CN"/>
        </w:rPr>
        <w:t>3</w:t>
      </w:r>
      <w:r>
        <w:rPr>
          <w:rFonts w:hint="eastAsia" w:asciiTheme="minorEastAsia" w:hAnsiTheme="minorEastAsia" w:eastAsiaTheme="minorEastAsia" w:cstheme="minorEastAsia"/>
          <w:b w:val="0"/>
          <w:bCs w:val="0"/>
          <w:spacing w:val="3"/>
          <w:sz w:val="28"/>
          <w:szCs w:val="28"/>
        </w:rPr>
        <w:t>抽样数量</w:t>
      </w:r>
    </w:p>
    <w:p w14:paraId="3AD77B5C">
      <w:pPr>
        <w:pStyle w:val="3"/>
        <w:spacing w:before="161" w:line="228" w:lineRule="auto"/>
        <w:ind w:left="54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每批次产品抽取样品</w:t>
      </w:r>
      <w:r>
        <w:rPr>
          <w:rFonts w:hint="eastAsia" w:asciiTheme="minorEastAsia" w:hAnsiTheme="minorEastAsia" w:eastAsiaTheme="minorEastAsia" w:cstheme="minorEastAsia"/>
          <w:b w:val="0"/>
          <w:bCs w:val="0"/>
          <w:spacing w:val="-20"/>
          <w:sz w:val="28"/>
          <w:szCs w:val="28"/>
          <w:lang w:val="en-US" w:eastAsia="zh-CN"/>
        </w:rPr>
        <w:t>4个</w:t>
      </w:r>
      <w:r>
        <w:rPr>
          <w:rFonts w:hint="eastAsia" w:asciiTheme="minorEastAsia" w:hAnsiTheme="minorEastAsia" w:eastAsiaTheme="minorEastAsia" w:cstheme="minorEastAsia"/>
          <w:b w:val="0"/>
          <w:bCs w:val="0"/>
          <w:spacing w:val="6"/>
          <w:sz w:val="28"/>
          <w:szCs w:val="28"/>
        </w:rPr>
        <w:t>，其中</w:t>
      </w:r>
      <w:r>
        <w:rPr>
          <w:rFonts w:hint="eastAsia" w:asciiTheme="minorEastAsia" w:hAnsiTheme="minorEastAsia" w:eastAsiaTheme="minorEastAsia" w:cstheme="minorEastAsia"/>
          <w:b w:val="0"/>
          <w:bCs w:val="0"/>
          <w:spacing w:val="6"/>
          <w:sz w:val="28"/>
          <w:szCs w:val="28"/>
          <w:lang w:val="en-US" w:eastAsia="zh-CN"/>
        </w:rPr>
        <w:t>2个</w:t>
      </w:r>
      <w:r>
        <w:rPr>
          <w:rFonts w:hint="eastAsia" w:asciiTheme="minorEastAsia" w:hAnsiTheme="minorEastAsia" w:eastAsiaTheme="minorEastAsia" w:cstheme="minorEastAsia"/>
          <w:b w:val="0"/>
          <w:bCs w:val="0"/>
          <w:spacing w:val="6"/>
          <w:sz w:val="28"/>
          <w:szCs w:val="28"/>
        </w:rPr>
        <w:t>作为检验样品，</w:t>
      </w:r>
      <w:r>
        <w:rPr>
          <w:rFonts w:hint="eastAsia" w:asciiTheme="minorEastAsia" w:hAnsiTheme="minorEastAsia" w:eastAsiaTheme="minorEastAsia" w:cstheme="minorEastAsia"/>
          <w:b w:val="0"/>
          <w:bCs w:val="0"/>
          <w:spacing w:val="6"/>
          <w:sz w:val="28"/>
          <w:szCs w:val="28"/>
          <w:lang w:val="en-US" w:eastAsia="zh-CN"/>
        </w:rPr>
        <w:t>2个</w:t>
      </w:r>
      <w:r>
        <w:rPr>
          <w:rFonts w:hint="eastAsia" w:asciiTheme="minorEastAsia" w:hAnsiTheme="minorEastAsia" w:eastAsiaTheme="minorEastAsia" w:cstheme="minorEastAsia"/>
          <w:b w:val="0"/>
          <w:bCs w:val="0"/>
          <w:spacing w:val="6"/>
          <w:sz w:val="28"/>
          <w:szCs w:val="28"/>
        </w:rPr>
        <w:t>作为备用样品。</w:t>
      </w:r>
    </w:p>
    <w:p w14:paraId="28497A03">
      <w:pPr>
        <w:pStyle w:val="3"/>
        <w:spacing w:before="259" w:line="228" w:lineRule="auto"/>
        <w:ind w:left="123"/>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2</w:t>
      </w:r>
      <w:r>
        <w:rPr>
          <w:rFonts w:hint="eastAsia" w:asciiTheme="minorEastAsia" w:hAnsiTheme="minorEastAsia" w:eastAsiaTheme="minorEastAsia" w:cstheme="minorEastAsia"/>
          <w:b w:val="0"/>
          <w:bCs w:val="0"/>
          <w:spacing w:val="6"/>
          <w:sz w:val="28"/>
          <w:szCs w:val="28"/>
        </w:rPr>
        <w:t xml:space="preserve"> </w:t>
      </w:r>
      <w:r>
        <w:rPr>
          <w:rFonts w:hint="eastAsia" w:asciiTheme="minorEastAsia" w:hAnsiTheme="minorEastAsia" w:eastAsiaTheme="minorEastAsia" w:cstheme="minorEastAsia"/>
          <w:b w:val="0"/>
          <w:bCs w:val="0"/>
          <w:spacing w:val="6"/>
          <w:sz w:val="28"/>
          <w:szCs w:val="28"/>
        </w:rPr>
        <w:t>检验项目及检测方法</w:t>
      </w:r>
    </w:p>
    <w:p w14:paraId="3915FFE6">
      <w:pPr>
        <w:pStyle w:val="3"/>
        <w:spacing w:before="123" w:line="228" w:lineRule="auto"/>
        <w:jc w:val="center"/>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表</w:t>
      </w:r>
      <w:r>
        <w:rPr>
          <w:rFonts w:hint="eastAsia" w:asciiTheme="minorEastAsia" w:hAnsiTheme="minorEastAsia" w:eastAsiaTheme="minorEastAsia" w:cstheme="minorEastAsia"/>
          <w:b w:val="0"/>
          <w:bCs w:val="0"/>
          <w:spacing w:val="5"/>
          <w:sz w:val="28"/>
          <w:szCs w:val="28"/>
          <w:lang w:val="en-US" w:eastAsia="zh-CN"/>
        </w:rPr>
        <w:t>1</w:t>
      </w:r>
      <w:r>
        <w:rPr>
          <w:rFonts w:hint="eastAsia" w:asciiTheme="minorEastAsia" w:hAnsiTheme="minorEastAsia" w:eastAsiaTheme="minorEastAsia" w:cstheme="minorEastAsia"/>
          <w:b w:val="0"/>
          <w:bCs w:val="0"/>
          <w:spacing w:val="5"/>
          <w:sz w:val="28"/>
          <w:szCs w:val="28"/>
        </w:rPr>
        <w:t xml:space="preserve"> </w:t>
      </w:r>
      <w:r>
        <w:rPr>
          <w:rFonts w:hint="eastAsia" w:asciiTheme="minorEastAsia" w:hAnsiTheme="minorEastAsia" w:eastAsiaTheme="minorEastAsia" w:cstheme="minorEastAsia"/>
          <w:b w:val="0"/>
          <w:bCs w:val="0"/>
          <w:spacing w:val="5"/>
          <w:sz w:val="28"/>
          <w:szCs w:val="28"/>
          <w:lang w:val="en-US" w:eastAsia="zh-CN"/>
        </w:rPr>
        <w:t>瓶装液化石油气调压器</w:t>
      </w:r>
      <w:r>
        <w:rPr>
          <w:rFonts w:hint="eastAsia" w:asciiTheme="minorEastAsia" w:hAnsiTheme="minorEastAsia" w:eastAsiaTheme="minorEastAsia" w:cstheme="minorEastAsia"/>
          <w:b w:val="0"/>
          <w:bCs w:val="0"/>
          <w:spacing w:val="5"/>
          <w:sz w:val="28"/>
          <w:szCs w:val="28"/>
        </w:rPr>
        <w:t>产品检验项目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877"/>
        <w:gridCol w:w="3247"/>
        <w:gridCol w:w="2611"/>
      </w:tblGrid>
      <w:tr w14:paraId="63E70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359A34B7">
            <w:pPr>
              <w:pStyle w:val="8"/>
              <w:widowControl w:val="0"/>
              <w:spacing w:before="65" w:line="229"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5"/>
                <w:sz w:val="28"/>
                <w:szCs w:val="28"/>
              </w:rPr>
              <w:t>序号</w:t>
            </w:r>
          </w:p>
        </w:tc>
        <w:tc>
          <w:tcPr>
            <w:tcW w:w="4124" w:type="dxa"/>
            <w:gridSpan w:val="2"/>
            <w:vAlign w:val="center"/>
          </w:tcPr>
          <w:p w14:paraId="21D26512">
            <w:pPr>
              <w:pStyle w:val="8"/>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检验项目</w:t>
            </w:r>
          </w:p>
        </w:tc>
        <w:tc>
          <w:tcPr>
            <w:tcW w:w="2611" w:type="dxa"/>
            <w:vAlign w:val="center"/>
          </w:tcPr>
          <w:p w14:paraId="3C074559">
            <w:pPr>
              <w:pStyle w:val="8"/>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检验方法</w:t>
            </w:r>
          </w:p>
        </w:tc>
      </w:tr>
      <w:tr w14:paraId="1D48F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1012" w:type="dxa"/>
            <w:vMerge w:val="restart"/>
            <w:vAlign w:val="center"/>
          </w:tcPr>
          <w:p w14:paraId="48988DBD">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1</w:t>
            </w:r>
          </w:p>
        </w:tc>
        <w:tc>
          <w:tcPr>
            <w:tcW w:w="877" w:type="dxa"/>
            <w:vMerge w:val="restart"/>
            <w:vAlign w:val="center"/>
          </w:tcPr>
          <w:p w14:paraId="1477C8F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snapToGrid w:val="0"/>
                <w:color w:val="000000"/>
                <w:kern w:val="0"/>
                <w:sz w:val="28"/>
                <w:szCs w:val="28"/>
                <w:u w:val="none"/>
                <w:lang w:val="en-US" w:eastAsia="zh-CN" w:bidi="ar-SA"/>
              </w:rPr>
            </w:pPr>
            <w:r>
              <w:rPr>
                <w:rFonts w:hint="eastAsia" w:asciiTheme="minorEastAsia" w:hAnsiTheme="minorEastAsia" w:eastAsiaTheme="minorEastAsia" w:cstheme="minorEastAsia"/>
                <w:b w:val="0"/>
                <w:bCs w:val="0"/>
                <w:i w:val="0"/>
                <w:iCs w:val="0"/>
                <w:snapToGrid w:val="0"/>
                <w:color w:val="000000"/>
                <w:kern w:val="0"/>
                <w:sz w:val="28"/>
                <w:szCs w:val="28"/>
                <w:u w:val="none"/>
                <w:lang w:val="en-US" w:eastAsia="zh-CN" w:bidi="ar"/>
              </w:rPr>
              <w:t>结构</w:t>
            </w:r>
          </w:p>
        </w:tc>
        <w:tc>
          <w:tcPr>
            <w:tcW w:w="3247" w:type="dxa"/>
            <w:vAlign w:val="center"/>
          </w:tcPr>
          <w:p w14:paraId="20DB2F1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snapToGrid w:val="0"/>
                <w:color w:val="000000"/>
                <w:kern w:val="0"/>
                <w:sz w:val="28"/>
                <w:szCs w:val="28"/>
                <w:u w:val="none"/>
                <w:lang w:val="en-US" w:eastAsia="zh-CN" w:bidi="ar"/>
              </w:rPr>
            </w:pPr>
            <w:r>
              <w:rPr>
                <w:rFonts w:hint="eastAsia" w:asciiTheme="minorEastAsia" w:hAnsiTheme="minorEastAsia" w:eastAsiaTheme="minorEastAsia" w:cstheme="minorEastAsia"/>
                <w:b w:val="0"/>
                <w:bCs w:val="0"/>
                <w:i w:val="0"/>
                <w:iCs w:val="0"/>
                <w:snapToGrid w:val="0"/>
                <w:color w:val="000000"/>
                <w:kern w:val="0"/>
                <w:sz w:val="28"/>
                <w:szCs w:val="28"/>
                <w:u w:val="none"/>
                <w:lang w:val="en-US" w:eastAsia="zh-CN" w:bidi="ar"/>
              </w:rPr>
              <w:t>调压器的设定状态</w:t>
            </w:r>
          </w:p>
        </w:tc>
        <w:tc>
          <w:tcPr>
            <w:tcW w:w="2611" w:type="dxa"/>
            <w:vMerge w:val="restart"/>
            <w:vAlign w:val="center"/>
          </w:tcPr>
          <w:p w14:paraId="77057AF5">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GB 35844</w:t>
            </w:r>
          </w:p>
        </w:tc>
      </w:tr>
      <w:tr w14:paraId="666DA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1012" w:type="dxa"/>
            <w:vMerge w:val="continue"/>
            <w:vAlign w:val="center"/>
          </w:tcPr>
          <w:p w14:paraId="03CB59BE">
            <w:pPr>
              <w:keepNext w:val="0"/>
              <w:keepLines w:val="0"/>
              <w:widowControl/>
              <w:suppressLineNumbers w:val="0"/>
              <w:jc w:val="center"/>
              <w:textAlignment w:val="center"/>
              <w:rPr>
                <w:rFonts w:hint="eastAsia" w:asciiTheme="minorEastAsia" w:hAnsiTheme="minorEastAsia" w:eastAsiaTheme="minorEastAsia" w:cstheme="minorEastAsia"/>
                <w:b w:val="0"/>
                <w:bCs w:val="0"/>
                <w:sz w:val="28"/>
                <w:szCs w:val="28"/>
              </w:rPr>
            </w:pPr>
          </w:p>
        </w:tc>
        <w:tc>
          <w:tcPr>
            <w:tcW w:w="877" w:type="dxa"/>
            <w:vMerge w:val="continue"/>
            <w:vAlign w:val="center"/>
          </w:tcPr>
          <w:p w14:paraId="47DFC453">
            <w:pPr>
              <w:keepNext w:val="0"/>
              <w:keepLines w:val="0"/>
              <w:widowControl/>
              <w:suppressLineNumbers w:val="0"/>
              <w:jc w:val="left"/>
              <w:textAlignment w:val="center"/>
              <w:rPr>
                <w:rFonts w:hint="eastAsia" w:asciiTheme="minorEastAsia" w:hAnsiTheme="minorEastAsia" w:eastAsiaTheme="minorEastAsia" w:cstheme="minorEastAsia"/>
                <w:b w:val="0"/>
                <w:bCs w:val="0"/>
                <w:sz w:val="28"/>
                <w:szCs w:val="28"/>
              </w:rPr>
            </w:pPr>
          </w:p>
        </w:tc>
        <w:tc>
          <w:tcPr>
            <w:tcW w:w="3247" w:type="dxa"/>
            <w:vAlign w:val="center"/>
          </w:tcPr>
          <w:p w14:paraId="36B6667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snapToGrid w:val="0"/>
                <w:color w:val="000000"/>
                <w:kern w:val="0"/>
                <w:sz w:val="28"/>
                <w:szCs w:val="28"/>
                <w:u w:val="none"/>
                <w:lang w:val="en-US" w:eastAsia="zh-CN" w:bidi="ar"/>
              </w:rPr>
            </w:pPr>
            <w:r>
              <w:rPr>
                <w:rFonts w:hint="eastAsia" w:asciiTheme="minorEastAsia" w:hAnsiTheme="minorEastAsia" w:eastAsiaTheme="minorEastAsia" w:cstheme="minorEastAsia"/>
                <w:b w:val="0"/>
                <w:bCs w:val="0"/>
                <w:i w:val="0"/>
                <w:iCs w:val="0"/>
                <w:snapToGrid w:val="0"/>
                <w:color w:val="000000"/>
                <w:kern w:val="0"/>
                <w:sz w:val="28"/>
                <w:szCs w:val="28"/>
                <w:u w:val="none"/>
                <w:lang w:val="en-US" w:eastAsia="zh-CN" w:bidi="ar"/>
              </w:rPr>
              <w:t>进气口连接和尺寸（手轮外径、手轮宽度）</w:t>
            </w:r>
          </w:p>
        </w:tc>
        <w:tc>
          <w:tcPr>
            <w:tcW w:w="2611" w:type="dxa"/>
            <w:vMerge w:val="continue"/>
            <w:tcBorders/>
            <w:vAlign w:val="center"/>
          </w:tcPr>
          <w:p w14:paraId="44B0BE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snapToGrid w:val="0"/>
                <w:color w:val="000000"/>
                <w:kern w:val="0"/>
                <w:sz w:val="28"/>
                <w:szCs w:val="28"/>
                <w:u w:val="none"/>
                <w:lang w:val="en-US" w:eastAsia="zh-CN" w:bidi="ar"/>
              </w:rPr>
            </w:pPr>
          </w:p>
        </w:tc>
      </w:tr>
      <w:tr w14:paraId="59F4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1012" w:type="dxa"/>
            <w:vMerge w:val="continue"/>
            <w:vAlign w:val="center"/>
          </w:tcPr>
          <w:p w14:paraId="3E1E996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snapToGrid w:val="0"/>
                <w:color w:val="000000"/>
                <w:kern w:val="0"/>
                <w:sz w:val="28"/>
                <w:szCs w:val="28"/>
                <w:u w:val="none"/>
                <w:lang w:val="en-US" w:eastAsia="zh-CN" w:bidi="ar"/>
              </w:rPr>
            </w:pPr>
          </w:p>
        </w:tc>
        <w:tc>
          <w:tcPr>
            <w:tcW w:w="877" w:type="dxa"/>
            <w:vMerge w:val="continue"/>
            <w:vAlign w:val="center"/>
          </w:tcPr>
          <w:p w14:paraId="59E2430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snapToGrid w:val="0"/>
                <w:color w:val="000000"/>
                <w:kern w:val="0"/>
                <w:sz w:val="28"/>
                <w:szCs w:val="28"/>
                <w:u w:val="none"/>
                <w:lang w:val="en-US" w:eastAsia="zh-CN" w:bidi="ar"/>
              </w:rPr>
            </w:pPr>
          </w:p>
        </w:tc>
        <w:tc>
          <w:tcPr>
            <w:tcW w:w="3247" w:type="dxa"/>
            <w:vAlign w:val="center"/>
          </w:tcPr>
          <w:p w14:paraId="75AF91D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snapToGrid w:val="0"/>
                <w:color w:val="000000"/>
                <w:kern w:val="0"/>
                <w:sz w:val="28"/>
                <w:szCs w:val="28"/>
                <w:u w:val="none"/>
                <w:lang w:val="en-US" w:eastAsia="zh-CN" w:bidi="ar"/>
              </w:rPr>
            </w:pPr>
            <w:r>
              <w:rPr>
                <w:rFonts w:hint="eastAsia" w:asciiTheme="minorEastAsia" w:hAnsiTheme="minorEastAsia" w:eastAsiaTheme="minorEastAsia" w:cstheme="minorEastAsia"/>
                <w:b w:val="0"/>
                <w:bCs w:val="0"/>
                <w:i w:val="0"/>
                <w:iCs w:val="0"/>
                <w:snapToGrid w:val="0"/>
                <w:color w:val="000000"/>
                <w:kern w:val="0"/>
                <w:sz w:val="28"/>
                <w:szCs w:val="28"/>
                <w:u w:val="none"/>
                <w:lang w:val="en-US" w:eastAsia="zh-CN" w:bidi="ar"/>
              </w:rPr>
              <w:t>过流切断安全装置</w:t>
            </w:r>
          </w:p>
        </w:tc>
        <w:tc>
          <w:tcPr>
            <w:tcW w:w="2611" w:type="dxa"/>
            <w:vMerge w:val="continue"/>
            <w:tcBorders/>
            <w:vAlign w:val="center"/>
          </w:tcPr>
          <w:p w14:paraId="555103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snapToGrid w:val="0"/>
                <w:color w:val="000000"/>
                <w:kern w:val="0"/>
                <w:sz w:val="28"/>
                <w:szCs w:val="28"/>
                <w:u w:val="none"/>
                <w:lang w:val="en-US" w:eastAsia="zh-CN" w:bidi="ar"/>
              </w:rPr>
            </w:pPr>
          </w:p>
        </w:tc>
      </w:tr>
      <w:tr w14:paraId="19DE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4709B8F1">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2</w:t>
            </w:r>
          </w:p>
        </w:tc>
        <w:tc>
          <w:tcPr>
            <w:tcW w:w="4124" w:type="dxa"/>
            <w:gridSpan w:val="2"/>
            <w:vAlign w:val="center"/>
          </w:tcPr>
          <w:p w14:paraId="4789ACD0">
            <w:pPr>
              <w:pStyle w:val="8"/>
              <w:widowControl w:val="0"/>
              <w:spacing w:before="65" w:line="228" w:lineRule="auto"/>
              <w:jc w:val="left"/>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z w:val="28"/>
                <w:szCs w:val="28"/>
                <w:lang w:val="en-US" w:eastAsia="zh-CN"/>
              </w:rPr>
              <w:t>气密性</w:t>
            </w:r>
          </w:p>
        </w:tc>
        <w:tc>
          <w:tcPr>
            <w:tcW w:w="2611" w:type="dxa"/>
            <w:vMerge w:val="continue"/>
            <w:tcBorders/>
            <w:vAlign w:val="top"/>
          </w:tcPr>
          <w:p w14:paraId="69F1B971">
            <w:pPr>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p>
        </w:tc>
      </w:tr>
      <w:tr w14:paraId="4484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76A263A6">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3</w:t>
            </w:r>
          </w:p>
        </w:tc>
        <w:tc>
          <w:tcPr>
            <w:tcW w:w="4124" w:type="dxa"/>
            <w:gridSpan w:val="2"/>
            <w:vAlign w:val="center"/>
          </w:tcPr>
          <w:p w14:paraId="0CE4F7F9">
            <w:pPr>
              <w:pStyle w:val="8"/>
              <w:widowControl w:val="0"/>
              <w:spacing w:before="65" w:line="228" w:lineRule="auto"/>
              <w:jc w:val="left"/>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z w:val="28"/>
                <w:szCs w:val="28"/>
                <w:lang w:val="en-US" w:eastAsia="zh-CN"/>
              </w:rPr>
              <w:t>关闭压力</w:t>
            </w:r>
          </w:p>
        </w:tc>
        <w:tc>
          <w:tcPr>
            <w:tcW w:w="2611" w:type="dxa"/>
            <w:vMerge w:val="continue"/>
            <w:tcBorders/>
            <w:vAlign w:val="top"/>
          </w:tcPr>
          <w:p w14:paraId="3AFC62FE">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p>
        </w:tc>
      </w:tr>
      <w:tr w14:paraId="34B1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037592E0">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4</w:t>
            </w:r>
          </w:p>
        </w:tc>
        <w:tc>
          <w:tcPr>
            <w:tcW w:w="4124" w:type="dxa"/>
            <w:gridSpan w:val="2"/>
            <w:vAlign w:val="center"/>
          </w:tcPr>
          <w:p w14:paraId="6C2BCA80">
            <w:pPr>
              <w:pStyle w:val="8"/>
              <w:widowControl w:val="0"/>
              <w:spacing w:before="65" w:line="228" w:lineRule="auto"/>
              <w:jc w:val="left"/>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z w:val="28"/>
                <w:szCs w:val="28"/>
                <w:lang w:val="en-US" w:eastAsia="zh-CN"/>
              </w:rPr>
              <w:t>出口压力</w:t>
            </w:r>
          </w:p>
        </w:tc>
        <w:tc>
          <w:tcPr>
            <w:tcW w:w="2611" w:type="dxa"/>
            <w:vMerge w:val="continue"/>
            <w:tcBorders/>
            <w:vAlign w:val="top"/>
          </w:tcPr>
          <w:p w14:paraId="38D0955D">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p>
        </w:tc>
      </w:tr>
      <w:tr w14:paraId="73F0A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5C5D16B7">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5</w:t>
            </w:r>
          </w:p>
        </w:tc>
        <w:tc>
          <w:tcPr>
            <w:tcW w:w="4124" w:type="dxa"/>
            <w:gridSpan w:val="2"/>
            <w:vAlign w:val="center"/>
          </w:tcPr>
          <w:p w14:paraId="22EBB495">
            <w:pPr>
              <w:pStyle w:val="8"/>
              <w:widowControl w:val="0"/>
              <w:spacing w:before="65" w:line="228" w:lineRule="auto"/>
              <w:jc w:val="left"/>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z w:val="28"/>
                <w:szCs w:val="28"/>
                <w:lang w:val="en-US" w:eastAsia="zh-CN"/>
              </w:rPr>
              <w:t>标志、警示包装和使用说明书</w:t>
            </w:r>
          </w:p>
        </w:tc>
        <w:tc>
          <w:tcPr>
            <w:tcW w:w="2611" w:type="dxa"/>
            <w:vMerge w:val="continue"/>
            <w:tcBorders/>
            <w:vAlign w:val="top"/>
          </w:tcPr>
          <w:p w14:paraId="6CFD0FBF">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p>
        </w:tc>
      </w:tr>
    </w:tbl>
    <w:p w14:paraId="55AE365C">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注：执行企业标准、团体标准、地方标准的产品，检验项目参照上述内容执行。</w:t>
      </w:r>
    </w:p>
    <w:p w14:paraId="2D0F17A9">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凡是注日期的文件，其随后所有的修改单（不包括勘误的内容）或修订版不适用于本细则。凡是不注日期的文件，其最新版本适用于本细则。</w:t>
      </w:r>
    </w:p>
    <w:p w14:paraId="2C5ED357">
      <w:pPr>
        <w:pStyle w:val="3"/>
        <w:spacing w:before="200" w:line="228" w:lineRule="auto"/>
        <w:ind w:left="136"/>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3 判定规则</w:t>
      </w:r>
    </w:p>
    <w:p w14:paraId="30274BCA">
      <w:pPr>
        <w:pStyle w:val="3"/>
        <w:spacing w:before="200" w:line="228" w:lineRule="auto"/>
        <w:ind w:left="136"/>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3.1 标准依据</w:t>
      </w:r>
    </w:p>
    <w:p w14:paraId="08247EDD">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lang w:val="en-US" w:eastAsia="zh-CN"/>
        </w:rPr>
        <w:t>GB 35844 瓶装液化石油气调压器</w:t>
      </w:r>
    </w:p>
    <w:p w14:paraId="45482D89">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相关的法律、行政法规、部门规章、规范性文件</w:t>
      </w:r>
    </w:p>
    <w:p w14:paraId="236E42E8">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现行有效的企业标准、团体标准、地方标准及产品明示质量要求</w:t>
      </w:r>
    </w:p>
    <w:p w14:paraId="32E3F836">
      <w:pPr>
        <w:pStyle w:val="3"/>
        <w:spacing w:before="200" w:line="228" w:lineRule="auto"/>
        <w:ind w:left="136"/>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3.2 判定原则</w:t>
      </w:r>
      <w:bookmarkStart w:id="0" w:name="_GoBack"/>
      <w:bookmarkEnd w:id="0"/>
    </w:p>
    <w:p w14:paraId="3C34B42C">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经检验，检验项目全部合格，判定为被抽查产品所检项目未发现不合格；检验项目中任一项或一项以上不合格，判定为被抽查产品不合格。</w:t>
      </w:r>
    </w:p>
    <w:p w14:paraId="08EF31ED">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若被检产品明示的质量要求高于本细则中检验项目依据的标准要求时，应按被检产品明示的质量要求判定。</w:t>
      </w:r>
    </w:p>
    <w:p w14:paraId="3859BC85">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若被检产品明示的质量要求低于本细则中检验项目依据的强制性标准要求时，应按照强制性标准要求判定。</w:t>
      </w:r>
    </w:p>
    <w:p w14:paraId="5C400BE9">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若被检产品明示的质量要求低于或包含细则中检验项目依据的推荐性标准要求时，应以被检产品明示的质量要求判定，但应在检验报告备注中进行说明。</w:t>
      </w:r>
    </w:p>
    <w:p w14:paraId="3CC9BE56">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若被检产品明示的质量要求缺少本细则中检验项目依据的强制性标准要求时，应按照强制性标准要求判定。</w:t>
      </w:r>
    </w:p>
    <w:p w14:paraId="3A01CB77">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若被检产品明示的质量要求缺少本细则中检验项目依据的推荐性标准要求时，该项目不参与判定，但应在检验报告备注中进行说明。</w:t>
      </w:r>
    </w:p>
    <w:p w14:paraId="7F64C492">
      <w:pPr>
        <w:pStyle w:val="3"/>
        <w:spacing w:before="200" w:line="228" w:lineRule="auto"/>
        <w:ind w:left="136"/>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4 异议复检</w:t>
      </w:r>
    </w:p>
    <w:p w14:paraId="6A13B6D9">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本细则中确定的全部检验项目，采用备用样品进行复检。</w:t>
      </w:r>
    </w:p>
    <w:sectPr>
      <w:pgSz w:w="11906" w:h="16839"/>
      <w:pgMar w:top="1440" w:right="1083" w:bottom="1440" w:left="108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标准公文_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2F73FB5"/>
    <w:rsid w:val="06982838"/>
    <w:rsid w:val="08233893"/>
    <w:rsid w:val="09B96D4E"/>
    <w:rsid w:val="0A031A4B"/>
    <w:rsid w:val="10D22332"/>
    <w:rsid w:val="115B693C"/>
    <w:rsid w:val="134A6C68"/>
    <w:rsid w:val="14B91DC7"/>
    <w:rsid w:val="18100480"/>
    <w:rsid w:val="1DE95937"/>
    <w:rsid w:val="1E2F342B"/>
    <w:rsid w:val="1F38206B"/>
    <w:rsid w:val="278C73F8"/>
    <w:rsid w:val="27DA4607"/>
    <w:rsid w:val="281A2C55"/>
    <w:rsid w:val="2B681F2A"/>
    <w:rsid w:val="2C0417E4"/>
    <w:rsid w:val="2DF301D1"/>
    <w:rsid w:val="35755F15"/>
    <w:rsid w:val="3B4E1EC2"/>
    <w:rsid w:val="42A927C0"/>
    <w:rsid w:val="4B73486A"/>
    <w:rsid w:val="522634B6"/>
    <w:rsid w:val="52CF44B9"/>
    <w:rsid w:val="53C0288A"/>
    <w:rsid w:val="5587498A"/>
    <w:rsid w:val="575C64C2"/>
    <w:rsid w:val="582F7751"/>
    <w:rsid w:val="58BC54DF"/>
    <w:rsid w:val="5BAC3FE7"/>
    <w:rsid w:val="5C6F4617"/>
    <w:rsid w:val="5CDC66E9"/>
    <w:rsid w:val="5DCF19CA"/>
    <w:rsid w:val="601F0B2B"/>
    <w:rsid w:val="620A1069"/>
    <w:rsid w:val="62407B8A"/>
    <w:rsid w:val="63084D13"/>
    <w:rsid w:val="63451804"/>
    <w:rsid w:val="641D6359"/>
    <w:rsid w:val="647A5C59"/>
    <w:rsid w:val="67140294"/>
    <w:rsid w:val="68137B5E"/>
    <w:rsid w:val="6F273D5F"/>
    <w:rsid w:val="783218CE"/>
    <w:rsid w:val="79352A18"/>
    <w:rsid w:val="7B6A2721"/>
    <w:rsid w:val="7CAC7784"/>
    <w:rsid w:val="7CCB0CF3"/>
    <w:rsid w:val="7CCC76B2"/>
    <w:rsid w:val="7F2A24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列出段落12"/>
    <w:basedOn w:val="1"/>
    <w:qFormat/>
    <w:uiPriority w:val="0"/>
    <w:pPr>
      <w:ind w:firstLine="420" w:firstLineChars="200"/>
    </w:pPr>
    <w:rPr>
      <w:rFonts w:ascii="Calibri" w:hAnsi="Calibri"/>
      <w:szCs w:val="22"/>
    </w:rPr>
  </w:style>
  <w:style w:type="paragraph" w:styleId="3">
    <w:name w:val="Body Text"/>
    <w:basedOn w:val="1"/>
    <w:semiHidden/>
    <w:qFormat/>
    <w:uiPriority w:val="0"/>
    <w:rPr>
      <w:rFonts w:ascii="宋体" w:hAnsi="宋体" w:eastAsia="宋体" w:cs="宋体"/>
      <w:sz w:val="20"/>
      <w:szCs w:val="20"/>
      <w:lang w:val="en-US" w:eastAsia="en-US" w:bidi="ar-SA"/>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757</Words>
  <Characters>797</Characters>
  <TotalTime>91</TotalTime>
  <ScaleCrop>false</ScaleCrop>
  <LinksUpToDate>false</LinksUpToDate>
  <CharactersWithSpaces>813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2024-06-14T10:09:00Z</dcterms:created>
  <dc:creator>Administrator</dc:creator>
  <cp:lastModifiedBy>创信检测</cp:lastModifiedBy>
  <dcterms:modified xsi:type="dcterms:W3CDTF">2026-03-14T01:40:23Z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2024-06-14T10:09:47Z</vt:filetime>
  </property>
  <property fmtid="{D5CDD505-2E9C-101B-9397-08002B2CF9AE}" pid="4" name="UsrData">
    <vt:lpwstr>666ba66affdba4001f45abaewl</vt:lpwstr>
  </property>
  <property fmtid="{D5CDD505-2E9C-101B-9397-08002B2CF9AE}" pid="5" name="KSOProductBuildVer">
    <vt:lpwstr>2052-12.1.0.25225</vt:lpwstr>
  </property>
  <property fmtid="{D5CDD505-2E9C-101B-9397-08002B2CF9AE}" pid="6" name="ICV">
    <vt:lpwstr>0A8745EEAF1C4556AFEBD75A68C20ADA_12</vt:lpwstr>
  </property>
  <property fmtid="{D5CDD505-2E9C-101B-9397-08002B2CF9AE}" pid="7" name="KSOTemplateDocerSaveRecord">
    <vt:lpwstr>eyJoZGlkIjoiOTdiNzZkOTk1ODVkM2NjNmU3NDdhZjI1NDFkMDc1ZDQiLCJ1c2VySWQiOiI5OTAwOTk0MDkifQ==</vt:lpwstr>
  </property>
</Properties>
</file>