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2E22A">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老视成镜</w:t>
      </w:r>
      <w:r>
        <w:rPr>
          <w:rFonts w:hint="eastAsia" w:asciiTheme="minorEastAsia" w:hAnsiTheme="minorEastAsia" w:eastAsiaTheme="minorEastAsia" w:cstheme="minorEastAsia"/>
          <w:b w:val="0"/>
          <w:bCs w:val="0"/>
          <w:spacing w:val="-4"/>
          <w:sz w:val="28"/>
          <w:szCs w:val="28"/>
        </w:rPr>
        <w:t>产品质量监督抽查实施细则</w:t>
      </w:r>
    </w:p>
    <w:p w14:paraId="3D1D390F">
      <w:pPr>
        <w:pStyle w:val="3"/>
        <w:spacing w:before="200"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117C1809">
      <w:pPr>
        <w:pStyle w:val="3"/>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6FE8D13C">
      <w:pPr>
        <w:pStyle w:val="3"/>
        <w:spacing w:before="163" w:line="227" w:lineRule="auto"/>
        <w:ind w:left="56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64492746">
      <w:pPr>
        <w:pStyle w:val="3"/>
        <w:spacing w:before="257"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7044A786">
      <w:pPr>
        <w:pStyle w:val="3"/>
        <w:spacing w:before="125" w:line="228" w:lineRule="auto"/>
        <w:ind w:left="5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64DD03EC">
      <w:pPr>
        <w:pStyle w:val="3"/>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p>
    <w:p w14:paraId="6969AF95">
      <w:pPr>
        <w:pStyle w:val="3"/>
        <w:spacing w:before="161" w:line="228" w:lineRule="auto"/>
        <w:ind w:left="5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每批次产品抽取样品</w:t>
      </w:r>
      <w:r>
        <w:rPr>
          <w:rFonts w:hint="eastAsia" w:asciiTheme="minorEastAsia" w:hAnsiTheme="minorEastAsia" w:eastAsiaTheme="minorEastAsia" w:cstheme="minorEastAsia"/>
          <w:b w:val="0"/>
          <w:bCs w:val="0"/>
          <w:spacing w:val="-20"/>
          <w:sz w:val="28"/>
          <w:szCs w:val="28"/>
          <w:lang w:val="en-US" w:eastAsia="zh-CN"/>
        </w:rPr>
        <w:t>2</w:t>
      </w:r>
      <w:r>
        <w:rPr>
          <w:rFonts w:hint="eastAsia" w:asciiTheme="minorEastAsia" w:hAnsiTheme="minorEastAsia" w:eastAsiaTheme="minorEastAsia" w:cstheme="minorEastAsia"/>
          <w:b w:val="0"/>
          <w:bCs w:val="0"/>
          <w:spacing w:val="6"/>
          <w:sz w:val="28"/>
          <w:szCs w:val="28"/>
        </w:rPr>
        <w:t>副，其中</w:t>
      </w:r>
      <w:r>
        <w:rPr>
          <w:rFonts w:hint="eastAsia" w:asciiTheme="minorEastAsia" w:hAnsiTheme="minorEastAsia" w:eastAsiaTheme="minorEastAsia" w:cstheme="minorEastAsia"/>
          <w:b w:val="0"/>
          <w:bCs w:val="0"/>
          <w:spacing w:val="6"/>
          <w:sz w:val="28"/>
          <w:szCs w:val="28"/>
          <w:lang w:val="en-US" w:eastAsia="zh-CN"/>
        </w:rPr>
        <w:t>1</w:t>
      </w:r>
      <w:r>
        <w:rPr>
          <w:rFonts w:hint="eastAsia" w:asciiTheme="minorEastAsia" w:hAnsiTheme="minorEastAsia" w:eastAsiaTheme="minorEastAsia" w:cstheme="minorEastAsia"/>
          <w:b w:val="0"/>
          <w:bCs w:val="0"/>
          <w:spacing w:val="6"/>
          <w:sz w:val="28"/>
          <w:szCs w:val="28"/>
        </w:rPr>
        <w:t>副作为检验样品，1</w:t>
      </w:r>
      <w:r>
        <w:rPr>
          <w:rFonts w:hint="eastAsia" w:asciiTheme="minorEastAsia" w:hAnsiTheme="minorEastAsia" w:eastAsiaTheme="minorEastAsia" w:cstheme="minorEastAsia"/>
          <w:b w:val="0"/>
          <w:bCs w:val="0"/>
          <w:spacing w:val="-34"/>
          <w:sz w:val="28"/>
          <w:szCs w:val="28"/>
        </w:rPr>
        <w:t xml:space="preserve"> </w:t>
      </w:r>
      <w:r>
        <w:rPr>
          <w:rFonts w:hint="eastAsia" w:asciiTheme="minorEastAsia" w:hAnsiTheme="minorEastAsia" w:eastAsiaTheme="minorEastAsia" w:cstheme="minorEastAsia"/>
          <w:b w:val="0"/>
          <w:bCs w:val="0"/>
          <w:spacing w:val="6"/>
          <w:sz w:val="28"/>
          <w:szCs w:val="28"/>
        </w:rPr>
        <w:t>副作为备用样品。</w:t>
      </w:r>
    </w:p>
    <w:p w14:paraId="0A9DB27B">
      <w:pPr>
        <w:pStyle w:val="3"/>
        <w:spacing w:before="259" w:line="228" w:lineRule="auto"/>
        <w:ind w:left="12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54986CF6">
      <w:pPr>
        <w:pStyle w:val="3"/>
        <w:spacing w:before="123" w:line="228" w:lineRule="auto"/>
        <w:ind w:left="298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7"/>
          <w:sz w:val="28"/>
          <w:szCs w:val="28"/>
        </w:rPr>
        <w:t xml:space="preserve"> </w:t>
      </w:r>
      <w:r>
        <w:rPr>
          <w:rFonts w:hint="eastAsia" w:asciiTheme="minorEastAsia" w:hAnsiTheme="minorEastAsia" w:eastAsiaTheme="minorEastAsia" w:cstheme="minorEastAsia"/>
          <w:b w:val="0"/>
          <w:bCs w:val="0"/>
          <w:spacing w:val="5"/>
          <w:sz w:val="28"/>
          <w:szCs w:val="28"/>
        </w:rPr>
        <w:t xml:space="preserve">1 </w:t>
      </w:r>
      <w:r>
        <w:rPr>
          <w:rFonts w:hint="eastAsia" w:asciiTheme="minorEastAsia" w:hAnsiTheme="minorEastAsia" w:eastAsiaTheme="minorEastAsia" w:cstheme="minorEastAsia"/>
          <w:b w:val="0"/>
          <w:bCs w:val="0"/>
          <w:spacing w:val="5"/>
          <w:sz w:val="28"/>
          <w:szCs w:val="28"/>
          <w:lang w:val="en-US" w:eastAsia="zh-CN"/>
        </w:rPr>
        <w:t>老视成镜</w:t>
      </w:r>
      <w:r>
        <w:rPr>
          <w:rFonts w:hint="eastAsia" w:asciiTheme="minorEastAsia" w:hAnsiTheme="minorEastAsia" w:eastAsiaTheme="minorEastAsia" w:cstheme="minorEastAsia"/>
          <w:b w:val="0"/>
          <w:bCs w:val="0"/>
          <w:spacing w:val="5"/>
          <w:sz w:val="28"/>
          <w:szCs w:val="28"/>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477"/>
        <w:gridCol w:w="3258"/>
      </w:tblGrid>
      <w:tr w14:paraId="3985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6ECF9C0">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477" w:type="dxa"/>
            <w:vAlign w:val="center"/>
          </w:tcPr>
          <w:p w14:paraId="2179B923">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258" w:type="dxa"/>
            <w:vAlign w:val="center"/>
          </w:tcPr>
          <w:p w14:paraId="76423558">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2588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AF47C89">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477" w:type="dxa"/>
            <w:vAlign w:val="center"/>
          </w:tcPr>
          <w:p w14:paraId="5B753B82">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val="en-US" w:eastAsia="zh-CN"/>
              </w:rPr>
              <w:t>镜片的顶焦度</w:t>
            </w:r>
          </w:p>
        </w:tc>
        <w:tc>
          <w:tcPr>
            <w:tcW w:w="3258" w:type="dxa"/>
            <w:vAlign w:val="center"/>
          </w:tcPr>
          <w:p w14:paraId="47BE2B56">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10810.1</w:t>
            </w:r>
          </w:p>
        </w:tc>
      </w:tr>
      <w:tr w14:paraId="197F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8DD399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477" w:type="dxa"/>
            <w:vAlign w:val="center"/>
          </w:tcPr>
          <w:p w14:paraId="1F90A573">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镜片的材料和表面质量</w:t>
            </w:r>
          </w:p>
        </w:tc>
        <w:tc>
          <w:tcPr>
            <w:tcW w:w="3258" w:type="dxa"/>
            <w:vAlign w:val="top"/>
          </w:tcPr>
          <w:p w14:paraId="0E64229C">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10810.1</w:t>
            </w:r>
          </w:p>
        </w:tc>
      </w:tr>
      <w:tr w14:paraId="3577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21B3A0D6">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477" w:type="dxa"/>
            <w:vAlign w:val="center"/>
          </w:tcPr>
          <w:p w14:paraId="4FF6E2ED">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光透射比性能</w:t>
            </w:r>
          </w:p>
        </w:tc>
        <w:tc>
          <w:tcPr>
            <w:tcW w:w="3258" w:type="dxa"/>
            <w:vAlign w:val="top"/>
          </w:tcPr>
          <w:p w14:paraId="0FD8A4CE">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10810</w:t>
            </w:r>
            <w:r>
              <w:rPr>
                <w:rFonts w:hint="eastAsia" w:asciiTheme="minorEastAsia" w:hAnsiTheme="minorEastAsia" w:eastAsiaTheme="minorEastAsia" w:cstheme="minorEastAsia"/>
                <w:b w:val="0"/>
                <w:bCs w:val="0"/>
                <w:spacing w:val="7"/>
                <w:sz w:val="28"/>
                <w:szCs w:val="28"/>
                <w:lang w:val="en-US" w:eastAsia="zh-CN"/>
              </w:rPr>
              <w:t>.3</w:t>
            </w:r>
          </w:p>
          <w:p w14:paraId="260D25D1">
            <w:pPr>
              <w:widowControl w:val="0"/>
              <w:spacing w:before="65" w:line="228" w:lineRule="auto"/>
              <w:jc w:val="center"/>
              <w:rPr>
                <w:rFonts w:hint="eastAsia"/>
              </w:rPr>
            </w:pPr>
            <w:r>
              <w:rPr>
                <w:rFonts w:hint="eastAsia" w:asciiTheme="minorEastAsia" w:hAnsiTheme="minorEastAsia" w:eastAsiaTheme="minorEastAsia" w:cstheme="minorEastAsia"/>
                <w:b w:val="0"/>
                <w:bCs w:val="0"/>
                <w:spacing w:val="7"/>
                <w:sz w:val="28"/>
                <w:szCs w:val="28"/>
              </w:rPr>
              <w:t>QB/T 2506</w:t>
            </w:r>
          </w:p>
        </w:tc>
      </w:tr>
      <w:tr w14:paraId="3A1F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29AC204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477" w:type="dxa"/>
            <w:vAlign w:val="center"/>
          </w:tcPr>
          <w:p w14:paraId="25DB43C6">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镜架的外观质量</w:t>
            </w:r>
          </w:p>
        </w:tc>
        <w:tc>
          <w:tcPr>
            <w:tcW w:w="3258" w:type="dxa"/>
            <w:vAlign w:val="top"/>
          </w:tcPr>
          <w:p w14:paraId="230294F6">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r w14:paraId="39D8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4034F16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477" w:type="dxa"/>
            <w:vAlign w:val="center"/>
          </w:tcPr>
          <w:p w14:paraId="2BB7AE79">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抗汗腐蚀</w:t>
            </w:r>
          </w:p>
        </w:tc>
        <w:tc>
          <w:tcPr>
            <w:tcW w:w="3258" w:type="dxa"/>
            <w:vAlign w:val="top"/>
          </w:tcPr>
          <w:p w14:paraId="5431CF9A">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r w14:paraId="3FCD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5243C19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477" w:type="dxa"/>
            <w:vAlign w:val="center"/>
          </w:tcPr>
          <w:p w14:paraId="4F6F3B8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包覆层结合力</w:t>
            </w:r>
          </w:p>
        </w:tc>
        <w:tc>
          <w:tcPr>
            <w:tcW w:w="3258" w:type="dxa"/>
            <w:vAlign w:val="top"/>
          </w:tcPr>
          <w:p w14:paraId="39C3CAE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r w14:paraId="463F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8346AA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477" w:type="dxa"/>
            <w:vAlign w:val="center"/>
          </w:tcPr>
          <w:p w14:paraId="497B745E">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阻燃性</w:t>
            </w:r>
          </w:p>
        </w:tc>
        <w:tc>
          <w:tcPr>
            <w:tcW w:w="3258" w:type="dxa"/>
            <w:vAlign w:val="top"/>
          </w:tcPr>
          <w:p w14:paraId="6FF104F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r w14:paraId="138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3A3754B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8</w:t>
            </w:r>
          </w:p>
        </w:tc>
        <w:tc>
          <w:tcPr>
            <w:tcW w:w="3477" w:type="dxa"/>
            <w:vAlign w:val="center"/>
          </w:tcPr>
          <w:p w14:paraId="0830D667">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镜片夹持力</w:t>
            </w:r>
          </w:p>
        </w:tc>
        <w:tc>
          <w:tcPr>
            <w:tcW w:w="3258" w:type="dxa"/>
            <w:vAlign w:val="top"/>
          </w:tcPr>
          <w:p w14:paraId="2C399EF3">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bl>
    <w:p w14:paraId="6ED8551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lang w:eastAsia="zh-CN"/>
        </w:rPr>
        <w:t>注：</w:t>
      </w:r>
      <w:r>
        <w:rPr>
          <w:rFonts w:hint="eastAsia" w:asciiTheme="minorEastAsia" w:hAnsiTheme="minorEastAsia" w:eastAsiaTheme="minorEastAsia" w:cstheme="minorEastAsia"/>
          <w:b w:val="0"/>
          <w:bCs w:val="0"/>
          <w:spacing w:val="-5"/>
          <w:sz w:val="28"/>
          <w:szCs w:val="28"/>
        </w:rPr>
        <w:t>执行企业标准、团体标准、地方标准的产品，检验项目参照上述内容执行。</w:t>
      </w:r>
    </w:p>
    <w:p w14:paraId="2F6E55B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凡是注日期的文件，其随后所有的修改单（不包括勘误的内容）或修订版不适用于本细则。凡是不注日期的文件，其最新版本适用于本细则。</w:t>
      </w:r>
    </w:p>
    <w:p w14:paraId="5A293F5D">
      <w:pPr>
        <w:pStyle w:val="3"/>
        <w:spacing w:before="200" w:line="228" w:lineRule="auto"/>
        <w:ind w:left="136"/>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3 判定规则</w:t>
      </w:r>
    </w:p>
    <w:p w14:paraId="12A6CFC6">
      <w:pPr>
        <w:pStyle w:val="3"/>
        <w:spacing w:before="200" w:line="228" w:lineRule="auto"/>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3.1 标准依据</w:t>
      </w:r>
    </w:p>
    <w:p w14:paraId="14003A67">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GB/T 13511.3 配装眼镜 第 3 部分：单光老视成镜</w:t>
      </w:r>
    </w:p>
    <w:p w14:paraId="5B77932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相关的法律、行政法规、部门规章、规范性文件</w:t>
      </w:r>
    </w:p>
    <w:p w14:paraId="4C60714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现行有效的企业标准、团体标准、地方标准及产品明示质量要求</w:t>
      </w:r>
    </w:p>
    <w:p w14:paraId="0DEB4E40">
      <w:pPr>
        <w:pStyle w:val="3"/>
        <w:spacing w:before="200" w:line="228" w:lineRule="auto"/>
        <w:ind w:left="136"/>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3.2 判定原则</w:t>
      </w:r>
      <w:bookmarkStart w:id="0" w:name="_GoBack"/>
      <w:bookmarkEnd w:id="0"/>
    </w:p>
    <w:p w14:paraId="440E92D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经检验，检验项目全部合格，判定为被抽查产品所检项目未发现不合格；检验项目中任一项或一项以上不合格，判定为被抽查产品不合格。</w:t>
      </w:r>
    </w:p>
    <w:p w14:paraId="5298EA4D">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若被检产品明示的质量要求高于本细则中检验项目依据的标准要求时，应按被检产品明示的质量要求判定。</w:t>
      </w:r>
    </w:p>
    <w:p w14:paraId="421B6E71">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若被检产品明示的质量要求低于本细则中检验项目依据的强制性标准要求时，应按照强制性标准要求判定。</w:t>
      </w:r>
    </w:p>
    <w:p w14:paraId="0C3E54A2">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若被检产品明示的质量要求低于或包含细则中检验项目依据的推荐性标准要求时，应以被检产品明示的质量要求判定，但应在检验报告备注中进行说明。</w:t>
      </w:r>
    </w:p>
    <w:p w14:paraId="734E2A39">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若被检产品明示的质量要求缺少本细则中检验项目依据的强制性标准要求时，应按照强制性标准要求判定。</w:t>
      </w:r>
    </w:p>
    <w:p w14:paraId="4E91FC90">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若被检产品明示的质量要求缺少本细则中检验项目依据的推荐性标准要求时，该项目不参与判定，但应在检验报告备注中进行说明。</w:t>
      </w:r>
    </w:p>
    <w:p w14:paraId="63F26E98">
      <w:pPr>
        <w:pStyle w:val="3"/>
        <w:spacing w:before="200" w:line="228" w:lineRule="auto"/>
        <w:ind w:left="136"/>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4 异议复检</w:t>
      </w:r>
    </w:p>
    <w:p w14:paraId="225D9800">
      <w:pPr>
        <w:pStyle w:val="3"/>
        <w:spacing w:before="200" w:line="228" w:lineRule="auto"/>
        <w:ind w:left="136" w:firstLine="540" w:firstLineChars="200"/>
        <w:jc w:val="left"/>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本细则中确定的全部检验项目，采用备用样品进行复检。</w:t>
      </w:r>
    </w:p>
    <w:p w14:paraId="63C56BC6">
      <w:pPr>
        <w:pStyle w:val="3"/>
        <w:spacing w:before="200" w:line="228" w:lineRule="auto"/>
        <w:ind w:left="136"/>
        <w:jc w:val="left"/>
        <w:rPr>
          <w:rFonts w:hint="eastAsia" w:asciiTheme="minorEastAsia" w:hAnsiTheme="minorEastAsia" w:eastAsiaTheme="minorEastAsia" w:cstheme="minorEastAsia"/>
          <w:b w:val="0"/>
          <w:bCs w:val="0"/>
          <w:spacing w:val="-5"/>
          <w:sz w:val="28"/>
          <w:szCs w:val="28"/>
          <w:lang w:eastAsia="zh-CN"/>
        </w:rPr>
      </w:pP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jNjOWJjZWRlNDJjM2M1M2M2MDEzY2Y5NzZiODM0N2MifQ=="/>
  </w:docVars>
  <w:rsids>
    <w:rsidRoot w:val="00000000"/>
    <w:rsid w:val="01FE1A32"/>
    <w:rsid w:val="02B052A9"/>
    <w:rsid w:val="02F73FB5"/>
    <w:rsid w:val="03B37036"/>
    <w:rsid w:val="03C52BEB"/>
    <w:rsid w:val="04A32B54"/>
    <w:rsid w:val="06CB676A"/>
    <w:rsid w:val="07464EB6"/>
    <w:rsid w:val="08233893"/>
    <w:rsid w:val="08B651F8"/>
    <w:rsid w:val="09B96D4E"/>
    <w:rsid w:val="0A031A4B"/>
    <w:rsid w:val="0CAF61E6"/>
    <w:rsid w:val="0FC63F72"/>
    <w:rsid w:val="10D22332"/>
    <w:rsid w:val="115B693C"/>
    <w:rsid w:val="134A6C68"/>
    <w:rsid w:val="17FF2717"/>
    <w:rsid w:val="1CFA34AD"/>
    <w:rsid w:val="1DE95937"/>
    <w:rsid w:val="1F7D3F22"/>
    <w:rsid w:val="2701405F"/>
    <w:rsid w:val="2C1C51EE"/>
    <w:rsid w:val="2DF301D1"/>
    <w:rsid w:val="2EC90F31"/>
    <w:rsid w:val="2F550A9C"/>
    <w:rsid w:val="301F4026"/>
    <w:rsid w:val="305111DE"/>
    <w:rsid w:val="30DB0C56"/>
    <w:rsid w:val="31FE0EF2"/>
    <w:rsid w:val="32D31CC3"/>
    <w:rsid w:val="44557097"/>
    <w:rsid w:val="44580936"/>
    <w:rsid w:val="467428AF"/>
    <w:rsid w:val="582F7751"/>
    <w:rsid w:val="5C6F4617"/>
    <w:rsid w:val="5DCF19CA"/>
    <w:rsid w:val="66D13822"/>
    <w:rsid w:val="67140294"/>
    <w:rsid w:val="68DC4DE2"/>
    <w:rsid w:val="695D78EF"/>
    <w:rsid w:val="6F273D5F"/>
    <w:rsid w:val="70DC1E23"/>
    <w:rsid w:val="76EA1012"/>
    <w:rsid w:val="784B5052"/>
    <w:rsid w:val="7A0B3779"/>
    <w:rsid w:val="7B1F572E"/>
    <w:rsid w:val="7B6A2721"/>
    <w:rsid w:val="7F2A2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750</Words>
  <Characters>825</Characters>
  <TotalTime>20</TotalTime>
  <ScaleCrop>false</ScaleCrop>
  <LinksUpToDate>false</LinksUpToDate>
  <CharactersWithSpaces>852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2026-03-14T01:20:02Z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