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2E5B7BD">
      <w:pPr>
        <w:pStyle w:val="2"/>
        <w:spacing w:before="178" w:line="221" w:lineRule="auto"/>
        <w:jc w:val="center"/>
        <w:rPr>
          <w:rFonts w:hint="eastAsia" w:ascii="宋体" w:hAnsi="宋体" w:eastAsia="宋体" w:cs="宋体"/>
          <w:b w:val="0"/>
          <w:bCs w:val="0"/>
          <w:sz w:val="28"/>
          <w:szCs w:val="28"/>
        </w:rPr>
      </w:pPr>
      <w:r>
        <w:rPr>
          <w:rFonts w:hint="eastAsia" w:ascii="宋体" w:hAnsi="宋体" w:eastAsia="宋体" w:cs="宋体"/>
          <w:spacing w:val="-1"/>
          <w:sz w:val="28"/>
          <w:szCs w:val="28"/>
          <w:lang w:eastAsia="zh-CN"/>
        </w:rPr>
        <w:t>枣庄市</w:t>
      </w:r>
      <w:r>
        <w:rPr>
          <w:rFonts w:hint="eastAsia" w:cs="宋体"/>
          <w:spacing w:val="-1"/>
          <w:sz w:val="28"/>
          <w:szCs w:val="28"/>
          <w:lang w:val="en-US" w:eastAsia="zh-CN"/>
        </w:rPr>
        <w:t>胶合板</w:t>
      </w:r>
      <w:r>
        <w:rPr>
          <w:rFonts w:hint="eastAsia" w:ascii="宋体" w:hAnsi="宋体" w:eastAsia="宋体" w:cs="宋体"/>
          <w:spacing w:val="-1"/>
          <w:sz w:val="28"/>
          <w:szCs w:val="28"/>
          <w:lang w:eastAsia="zh-CN"/>
        </w:rPr>
        <w:t>产品质量监督抽查实施细则</w:t>
      </w:r>
    </w:p>
    <w:p w14:paraId="4183B1F5">
      <w:pPr>
        <w:pStyle w:val="2"/>
        <w:spacing w:before="156" w:line="221" w:lineRule="auto"/>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1 抽样</w:t>
      </w:r>
    </w:p>
    <w:p w14:paraId="2F2B22B3">
      <w:pPr>
        <w:pStyle w:val="2"/>
        <w:numPr>
          <w:ilvl w:val="1"/>
          <w:numId w:val="1"/>
        </w:numPr>
        <w:spacing w:before="156" w:line="221" w:lineRule="auto"/>
        <w:rPr>
          <w:rFonts w:hint="eastAsia" w:ascii="宋体" w:hAnsi="宋体" w:eastAsia="宋体" w:cs="宋体"/>
          <w:spacing w:val="-3"/>
          <w:sz w:val="28"/>
          <w:szCs w:val="28"/>
        </w:rPr>
      </w:pPr>
      <w:r>
        <w:rPr>
          <w:rFonts w:hint="eastAsia" w:ascii="宋体" w:hAnsi="宋体" w:eastAsia="宋体" w:cs="宋体"/>
          <w:spacing w:val="-3"/>
          <w:sz w:val="28"/>
          <w:szCs w:val="28"/>
        </w:rPr>
        <w:t>抽样方法</w:t>
      </w:r>
    </w:p>
    <w:p w14:paraId="3AAFC799">
      <w:pPr>
        <w:pStyle w:val="2"/>
        <w:numPr>
          <w:numId w:val="0"/>
        </w:numPr>
        <w:spacing w:before="156" w:line="221" w:lineRule="auto"/>
        <w:ind w:firstLine="556" w:firstLineChars="200"/>
        <w:rPr>
          <w:rFonts w:hint="eastAsia" w:ascii="宋体" w:hAnsi="宋体" w:eastAsia="宋体" w:cs="宋体"/>
          <w:sz w:val="28"/>
          <w:szCs w:val="28"/>
        </w:rPr>
      </w:pPr>
      <w:r>
        <w:rPr>
          <w:rFonts w:hint="eastAsia" w:ascii="宋体" w:hAnsi="宋体" w:eastAsia="宋体" w:cs="宋体"/>
          <w:spacing w:val="-1"/>
          <w:sz w:val="28"/>
          <w:szCs w:val="28"/>
        </w:rPr>
        <w:t>以随机抽样的方式在被抽样生产者、销售者的待销产品中抽取。</w:t>
      </w:r>
    </w:p>
    <w:p w14:paraId="71CBBD42">
      <w:pPr>
        <w:pStyle w:val="2"/>
        <w:spacing w:before="145" w:line="221" w:lineRule="auto"/>
        <w:rPr>
          <w:rFonts w:hint="eastAsia" w:ascii="宋体" w:hAnsi="宋体" w:eastAsia="宋体" w:cs="宋体"/>
          <w:sz w:val="28"/>
          <w:szCs w:val="28"/>
        </w:rPr>
      </w:pPr>
      <w:r>
        <w:rPr>
          <w:rFonts w:hint="eastAsia" w:ascii="宋体" w:hAnsi="宋体" w:eastAsia="宋体" w:cs="宋体"/>
          <w:spacing w:val="-3"/>
          <w:sz w:val="28"/>
          <w:szCs w:val="28"/>
        </w:rPr>
        <w:t>1.2 抽样基数</w:t>
      </w:r>
    </w:p>
    <w:p w14:paraId="62F19CF0">
      <w:pPr>
        <w:pStyle w:val="2"/>
        <w:spacing w:before="144" w:line="221" w:lineRule="auto"/>
        <w:ind w:firstLine="556" w:firstLineChars="200"/>
        <w:rPr>
          <w:rFonts w:hint="eastAsia" w:ascii="宋体" w:hAnsi="宋体" w:eastAsia="宋体" w:cs="宋体"/>
          <w:spacing w:val="-1"/>
          <w:sz w:val="28"/>
          <w:szCs w:val="28"/>
        </w:rPr>
      </w:pPr>
      <w:r>
        <w:rPr>
          <w:rFonts w:hint="eastAsia" w:ascii="宋体" w:hAnsi="宋体" w:eastAsia="宋体" w:cs="宋体"/>
          <w:spacing w:val="-1"/>
          <w:sz w:val="28"/>
          <w:szCs w:val="28"/>
        </w:rPr>
        <w:t>抽查样品基数满足抽样数量即可。</w:t>
      </w:r>
    </w:p>
    <w:p w14:paraId="07F7FD48">
      <w:pPr>
        <w:pStyle w:val="2"/>
        <w:spacing w:before="144" w:line="221" w:lineRule="auto"/>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1.3 抽样范围</w:t>
      </w:r>
    </w:p>
    <w:p w14:paraId="4D55DFEA">
      <w:pPr>
        <w:pStyle w:val="2"/>
        <w:spacing w:before="144" w:line="221" w:lineRule="auto"/>
        <w:ind w:firstLine="278" w:firstLineChars="10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 xml:space="preserve">  抽取同一规格型号、同一材质的产品。</w:t>
      </w:r>
    </w:p>
    <w:p w14:paraId="399DED26">
      <w:pPr>
        <w:pStyle w:val="2"/>
        <w:spacing w:before="144" w:line="221" w:lineRule="auto"/>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1.4 抽样数量</w:t>
      </w:r>
    </w:p>
    <w:p w14:paraId="431F5E3F">
      <w:pPr>
        <w:pStyle w:val="2"/>
        <w:spacing w:before="144" w:line="221" w:lineRule="auto"/>
        <w:ind w:left="559" w:leftChars="266" w:firstLine="0" w:firstLineChars="0"/>
        <w:rPr>
          <w:rFonts w:hint="eastAsia" w:ascii="宋体" w:hAnsi="宋体" w:eastAsia="宋体" w:cs="宋体"/>
          <w:spacing w:val="-1"/>
          <w:sz w:val="28"/>
          <w:szCs w:val="28"/>
          <w:lang w:val="en-US" w:eastAsia="zh-CN"/>
        </w:rPr>
      </w:pPr>
      <w:r>
        <w:rPr>
          <w:rFonts w:hint="eastAsia" w:ascii="宋体" w:hAnsi="宋体" w:eastAsia="宋体" w:cs="宋体"/>
          <w:spacing w:val="-1"/>
          <w:sz w:val="28"/>
          <w:szCs w:val="28"/>
          <w:lang w:val="en-US" w:eastAsia="zh-CN"/>
        </w:rPr>
        <w:t>每批次产品抽取样品3张，其中2张作为检验样品，1张作为备用样</w:t>
      </w:r>
      <w:r>
        <w:rPr>
          <w:rFonts w:hint="eastAsia" w:cs="宋体"/>
          <w:spacing w:val="-1"/>
          <w:sz w:val="28"/>
          <w:szCs w:val="28"/>
          <w:lang w:val="en-US" w:eastAsia="zh-CN"/>
        </w:rPr>
        <w:t>。</w:t>
      </w:r>
    </w:p>
    <w:p w14:paraId="3FC2C5B6">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val="en-US" w:eastAsia="zh-CN"/>
        </w:rPr>
        <w:t>当单张样品无法满足标准规定的制样尺寸时，可适当抽取符合要求的样品数量。</w:t>
      </w:r>
    </w:p>
    <w:p w14:paraId="6DA9FC62">
      <w:pPr>
        <w:pStyle w:val="2"/>
        <w:spacing w:before="178" w:line="221" w:lineRule="auto"/>
        <w:rPr>
          <w:rFonts w:hint="eastAsia" w:ascii="宋体" w:hAnsi="宋体" w:eastAsia="宋体" w:cs="宋体"/>
          <w:spacing w:val="-1"/>
          <w:sz w:val="28"/>
          <w:szCs w:val="28"/>
          <w:lang w:eastAsia="zh-CN"/>
        </w:rPr>
      </w:pPr>
      <w:r>
        <w:rPr>
          <w:rFonts w:hint="eastAsia" w:ascii="宋体" w:hAnsi="宋体" w:eastAsia="宋体" w:cs="宋体"/>
          <w:spacing w:val="-1"/>
          <w:sz w:val="28"/>
          <w:szCs w:val="28"/>
          <w:lang w:eastAsia="zh-CN"/>
        </w:rPr>
        <w:t>2 检验项目及检测方法</w:t>
      </w:r>
    </w:p>
    <w:p w14:paraId="1F401E65">
      <w:pPr>
        <w:pStyle w:val="2"/>
        <w:spacing w:before="178" w:line="221" w:lineRule="auto"/>
        <w:ind w:left="2990"/>
        <w:rPr>
          <w:rFonts w:hint="eastAsia" w:ascii="宋体" w:hAnsi="宋体" w:eastAsia="宋体" w:cs="宋体"/>
          <w:spacing w:val="-1"/>
          <w:sz w:val="28"/>
          <w:szCs w:val="28"/>
          <w14:textOutline w14:w="3835" w14:cap="flat" w14:cmpd="sng">
            <w14:solidFill>
              <w14:srgbClr w14:val="000000"/>
            </w14:solidFill>
            <w14:prstDash w14:val="solid"/>
            <w14:miter w14:val="0"/>
          </w14:textOutline>
        </w:rPr>
      </w:pPr>
      <w:r>
        <w:rPr>
          <w:rFonts w:hint="eastAsia" w:cs="宋体"/>
          <w:spacing w:val="-1"/>
          <w:sz w:val="28"/>
          <w:szCs w:val="28"/>
          <w:lang w:eastAsia="zh-CN"/>
        </w:rPr>
        <w:t>表</w:t>
      </w:r>
      <w:r>
        <w:rPr>
          <w:rFonts w:hint="eastAsia" w:cs="宋体"/>
          <w:spacing w:val="-1"/>
          <w:sz w:val="28"/>
          <w:szCs w:val="28"/>
          <w:lang w:val="en-US" w:eastAsia="zh-CN"/>
        </w:rPr>
        <w:t xml:space="preserve">1 </w:t>
      </w:r>
      <w:r>
        <w:rPr>
          <w:rFonts w:hint="eastAsia" w:cs="宋体"/>
          <w:spacing w:val="-1"/>
          <w:sz w:val="28"/>
          <w:szCs w:val="28"/>
          <w:lang w:eastAsia="zh-CN"/>
        </w:rPr>
        <w:t>胶合板</w:t>
      </w:r>
      <w:r>
        <w:rPr>
          <w:rFonts w:hint="eastAsia" w:ascii="宋体" w:hAnsi="宋体" w:eastAsia="宋体" w:cs="宋体"/>
          <w:spacing w:val="-1"/>
          <w:sz w:val="28"/>
          <w:szCs w:val="28"/>
          <w:lang w:eastAsia="zh-CN"/>
        </w:rPr>
        <w:t>产品检验项目</w:t>
      </w:r>
    </w:p>
    <w:tbl>
      <w:tblPr>
        <w:tblStyle w:val="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98"/>
        <w:gridCol w:w="3497"/>
        <w:gridCol w:w="3390"/>
      </w:tblGrid>
      <w:tr w14:paraId="70FDF3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17F6C0">
            <w:pPr>
              <w:pStyle w:val="7"/>
              <w:widowControl w:val="0"/>
              <w:spacing w:before="65" w:line="229"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5"/>
                <w:sz w:val="28"/>
                <w:szCs w:val="28"/>
              </w:rPr>
              <w:t>序号</w:t>
            </w:r>
          </w:p>
        </w:tc>
        <w:tc>
          <w:tcPr>
            <w:tcW w:w="3497" w:type="dxa"/>
            <w:vAlign w:val="center"/>
          </w:tcPr>
          <w:p w14:paraId="0FEAB258">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检验项目</w:t>
            </w:r>
          </w:p>
        </w:tc>
        <w:tc>
          <w:tcPr>
            <w:tcW w:w="3390" w:type="dxa"/>
            <w:vAlign w:val="center"/>
          </w:tcPr>
          <w:p w14:paraId="5F17A720">
            <w:pPr>
              <w:pStyle w:val="7"/>
              <w:widowControl w:val="0"/>
              <w:spacing w:before="65" w:line="228" w:lineRule="auto"/>
              <w:jc w:val="center"/>
              <w:rPr>
                <w:rFonts w:hint="eastAsia" w:ascii="宋体" w:hAnsi="宋体" w:eastAsia="宋体" w:cs="宋体"/>
                <w:b/>
                <w:bCs/>
                <w:spacing w:val="4"/>
                <w:sz w:val="28"/>
                <w:szCs w:val="28"/>
                <w:vertAlign w:val="baseline"/>
              </w:rPr>
            </w:pPr>
            <w:r>
              <w:rPr>
                <w:rFonts w:hint="eastAsia" w:ascii="宋体" w:hAnsi="宋体" w:eastAsia="宋体" w:cs="宋体"/>
                <w:spacing w:val="7"/>
                <w:sz w:val="28"/>
                <w:szCs w:val="28"/>
              </w:rPr>
              <w:t>检验方法</w:t>
            </w:r>
          </w:p>
        </w:tc>
      </w:tr>
      <w:tr w14:paraId="65457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5AB07A58">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1</w:t>
            </w:r>
          </w:p>
        </w:tc>
        <w:tc>
          <w:tcPr>
            <w:tcW w:w="3497" w:type="dxa"/>
            <w:vAlign w:val="center"/>
          </w:tcPr>
          <w:p w14:paraId="79A9BF74">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r>
              <w:rPr>
                <w:rFonts w:ascii="sans-serif" w:hAnsi="sans-serif" w:eastAsia="sans-serif" w:cs="sans-serif"/>
                <w:i w:val="0"/>
                <w:iCs w:val="0"/>
                <w:caps w:val="0"/>
                <w:spacing w:val="0"/>
                <w:sz w:val="28"/>
                <w:szCs w:val="28"/>
                <w:shd w:val="clear" w:fill="FFFFFF"/>
              </w:rPr>
              <w:t>含水率</w:t>
            </w:r>
          </w:p>
        </w:tc>
        <w:tc>
          <w:tcPr>
            <w:tcW w:w="3390" w:type="dxa"/>
            <w:vMerge w:val="restart"/>
            <w:vAlign w:val="center"/>
          </w:tcPr>
          <w:p w14:paraId="482519F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17657</w:t>
            </w:r>
          </w:p>
          <w:p w14:paraId="695E9247">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35216</w:t>
            </w:r>
          </w:p>
        </w:tc>
      </w:tr>
      <w:tr w14:paraId="645E8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3CDA4A46">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2</w:t>
            </w:r>
          </w:p>
        </w:tc>
        <w:tc>
          <w:tcPr>
            <w:tcW w:w="3497" w:type="dxa"/>
            <w:vAlign w:val="center"/>
          </w:tcPr>
          <w:p w14:paraId="4084374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胶合强度</w:t>
            </w:r>
          </w:p>
        </w:tc>
        <w:tc>
          <w:tcPr>
            <w:tcW w:w="3390" w:type="dxa"/>
            <w:vMerge w:val="continue"/>
            <w:tcBorders/>
            <w:vAlign w:val="top"/>
          </w:tcPr>
          <w:p w14:paraId="661C761A">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zh-CN" w:bidi="ar-SA"/>
              </w:rPr>
            </w:pPr>
          </w:p>
        </w:tc>
      </w:tr>
      <w:tr w14:paraId="7B9D3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29EFA5B4">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3</w:t>
            </w:r>
          </w:p>
        </w:tc>
        <w:tc>
          <w:tcPr>
            <w:tcW w:w="3497" w:type="dxa"/>
            <w:vAlign w:val="center"/>
          </w:tcPr>
          <w:p w14:paraId="19F1FB18">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静曲强度</w:t>
            </w:r>
          </w:p>
        </w:tc>
        <w:tc>
          <w:tcPr>
            <w:tcW w:w="3390" w:type="dxa"/>
            <w:vMerge w:val="continue"/>
            <w:tcBorders/>
            <w:vAlign w:val="top"/>
          </w:tcPr>
          <w:p w14:paraId="19BBCD5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6533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6CAA378C">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4</w:t>
            </w:r>
          </w:p>
        </w:tc>
        <w:tc>
          <w:tcPr>
            <w:tcW w:w="3497" w:type="dxa"/>
            <w:vAlign w:val="center"/>
          </w:tcPr>
          <w:p w14:paraId="772FA3B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弹性模量</w:t>
            </w:r>
          </w:p>
        </w:tc>
        <w:tc>
          <w:tcPr>
            <w:tcW w:w="3390" w:type="dxa"/>
            <w:vMerge w:val="continue"/>
            <w:tcBorders/>
            <w:vAlign w:val="top"/>
          </w:tcPr>
          <w:p w14:paraId="5AF23CD0">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p>
        </w:tc>
      </w:tr>
      <w:tr w14:paraId="2EF9AC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1298" w:type="dxa"/>
            <w:vAlign w:val="center"/>
          </w:tcPr>
          <w:p w14:paraId="144317E9">
            <w:pPr>
              <w:pStyle w:val="2"/>
              <w:widowControl w:val="0"/>
              <w:spacing w:before="65" w:line="228" w:lineRule="auto"/>
              <w:jc w:val="center"/>
              <w:rPr>
                <w:rFonts w:hint="eastAsia" w:ascii="宋体" w:hAnsi="宋体" w:eastAsia="宋体" w:cs="宋体"/>
                <w:color w:val="auto"/>
                <w:spacing w:val="7"/>
                <w:sz w:val="28"/>
                <w:szCs w:val="28"/>
                <w:lang w:val="en-US" w:eastAsia="zh-CN"/>
              </w:rPr>
            </w:pPr>
            <w:r>
              <w:rPr>
                <w:rFonts w:hint="eastAsia" w:ascii="宋体" w:hAnsi="宋体" w:eastAsia="宋体" w:cs="宋体"/>
                <w:color w:val="auto"/>
                <w:spacing w:val="7"/>
                <w:sz w:val="28"/>
                <w:szCs w:val="28"/>
                <w:lang w:val="en-US" w:eastAsia="zh-CN"/>
              </w:rPr>
              <w:t>5</w:t>
            </w:r>
          </w:p>
        </w:tc>
        <w:tc>
          <w:tcPr>
            <w:tcW w:w="3497" w:type="dxa"/>
            <w:vAlign w:val="center"/>
          </w:tcPr>
          <w:p w14:paraId="38307C86">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ascii="sans-serif" w:hAnsi="sans-serif" w:eastAsia="sans-serif" w:cs="sans-serif"/>
                <w:i w:val="0"/>
                <w:iCs w:val="0"/>
                <w:caps w:val="0"/>
                <w:spacing w:val="0"/>
                <w:sz w:val="28"/>
                <w:szCs w:val="28"/>
                <w:shd w:val="clear" w:fill="FFFFFF"/>
              </w:rPr>
              <w:t>甲醛释放量</w:t>
            </w:r>
          </w:p>
        </w:tc>
        <w:tc>
          <w:tcPr>
            <w:tcW w:w="3390" w:type="dxa"/>
            <w:vAlign w:val="top"/>
          </w:tcPr>
          <w:p w14:paraId="2445D3E2">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GB/T 17657</w:t>
            </w:r>
          </w:p>
          <w:p w14:paraId="46FAC013">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eastAsia" w:ascii="宋体" w:hAnsi="宋体" w:eastAsia="宋体" w:cs="宋体"/>
                <w:snapToGrid w:val="0"/>
                <w:color w:val="000000"/>
                <w:spacing w:val="-8"/>
                <w:kern w:val="0"/>
                <w:sz w:val="28"/>
                <w:szCs w:val="28"/>
                <w:lang w:val="en-US" w:eastAsia="en-US" w:bidi="ar-SA"/>
              </w:rPr>
              <w:t>GB 18580</w:t>
            </w:r>
          </w:p>
          <w:p w14:paraId="5A5E1C61">
            <w:pPr>
              <w:pStyle w:val="7"/>
              <w:widowControl w:val="0"/>
              <w:spacing w:before="65" w:line="228" w:lineRule="auto"/>
              <w:jc w:val="center"/>
              <w:rPr>
                <w:rFonts w:hint="eastAsia" w:ascii="宋体" w:hAnsi="宋体" w:eastAsia="宋体" w:cs="宋体"/>
                <w:snapToGrid w:val="0"/>
                <w:color w:val="000000"/>
                <w:spacing w:val="-8"/>
                <w:kern w:val="0"/>
                <w:sz w:val="28"/>
                <w:szCs w:val="28"/>
                <w:lang w:val="en-US" w:eastAsia="en-US" w:bidi="ar-SA"/>
              </w:rPr>
            </w:pPr>
            <w:r>
              <w:rPr>
                <w:rFonts w:hint="default" w:cs="宋体"/>
                <w:spacing w:val="-3"/>
                <w:sz w:val="28"/>
                <w:szCs w:val="28"/>
                <w:lang w:val="en-US" w:eastAsia="zh-CN"/>
              </w:rPr>
              <w:t>GB/T 39600</w:t>
            </w:r>
          </w:p>
        </w:tc>
      </w:tr>
    </w:tbl>
    <w:p w14:paraId="0DFF5B3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注</w:t>
      </w:r>
      <w:r>
        <w:rPr>
          <w:rFonts w:hint="eastAsia" w:cs="宋体"/>
          <w:spacing w:val="-3"/>
          <w:sz w:val="28"/>
          <w:szCs w:val="28"/>
          <w:lang w:eastAsia="zh-CN"/>
        </w:rPr>
        <w:t>：</w:t>
      </w:r>
      <w:r>
        <w:rPr>
          <w:rFonts w:hint="eastAsia" w:ascii="宋体" w:hAnsi="宋体" w:eastAsia="宋体" w:cs="宋体"/>
          <w:spacing w:val="-3"/>
          <w:sz w:val="28"/>
          <w:szCs w:val="28"/>
          <w:lang w:eastAsia="zh-CN"/>
        </w:rPr>
        <w:t>执行企业标准、团体标准、地方标准的产品， 检验项目参照上述内容执行。</w:t>
      </w:r>
    </w:p>
    <w:p w14:paraId="73F7D8BB">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凡是注日期的文件，其随后所有的修改单（不包括勘误的内容） 或修订版不适用于本细则。凡是不标注日期得文件，其最新版本适用于本细则。</w:t>
      </w:r>
    </w:p>
    <w:p w14:paraId="3800A29D">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 判定规则</w:t>
      </w:r>
    </w:p>
    <w:p w14:paraId="7EF65C71">
      <w:pPr>
        <w:pStyle w:val="2"/>
        <w:spacing w:before="156" w:line="240" w:lineRule="auto"/>
        <w:ind w:firstLine="274" w:firstLineChars="1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3.1 依据标准</w:t>
      </w:r>
    </w:p>
    <w:p w14:paraId="635584D6">
      <w:pPr>
        <w:pStyle w:val="2"/>
        <w:spacing w:before="156" w:line="240" w:lineRule="auto"/>
        <w:ind w:firstLine="822" w:firstLineChars="3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GB/T 18101 难燃胶合板</w:t>
      </w:r>
    </w:p>
    <w:p w14:paraId="0A83769C">
      <w:pPr>
        <w:pStyle w:val="2"/>
        <w:spacing w:before="156" w:line="240" w:lineRule="auto"/>
        <w:ind w:firstLine="822" w:firstLineChars="300"/>
        <w:rPr>
          <w:rFonts w:hint="eastAsia" w:cs="宋体"/>
          <w:spacing w:val="-3"/>
          <w:sz w:val="28"/>
          <w:szCs w:val="28"/>
          <w:lang w:val="en-US" w:eastAsia="zh-CN"/>
        </w:rPr>
      </w:pPr>
      <w:r>
        <w:rPr>
          <w:rFonts w:hint="eastAsia" w:ascii="宋体" w:hAnsi="宋体" w:eastAsia="宋体" w:cs="宋体"/>
          <w:spacing w:val="-3"/>
          <w:sz w:val="28"/>
          <w:szCs w:val="28"/>
          <w:lang w:eastAsia="zh-CN"/>
        </w:rPr>
        <w:t>GB/T 35216</w:t>
      </w:r>
      <w:r>
        <w:rPr>
          <w:rFonts w:hint="eastAsia" w:cs="宋体"/>
          <w:spacing w:val="-3"/>
          <w:sz w:val="28"/>
          <w:szCs w:val="28"/>
          <w:lang w:val="en-US" w:eastAsia="zh-CN"/>
        </w:rPr>
        <w:t xml:space="preserve"> 结构胶合板</w:t>
      </w:r>
    </w:p>
    <w:p w14:paraId="48E4A91C">
      <w:pPr>
        <w:pStyle w:val="2"/>
        <w:spacing w:before="156" w:line="240" w:lineRule="auto"/>
        <w:ind w:firstLine="822" w:firstLineChars="300"/>
        <w:rPr>
          <w:rFonts w:hint="default" w:cs="宋体"/>
          <w:spacing w:val="-3"/>
          <w:sz w:val="28"/>
          <w:szCs w:val="28"/>
          <w:lang w:val="en-US" w:eastAsia="zh-CN"/>
        </w:rPr>
      </w:pPr>
      <w:r>
        <w:rPr>
          <w:rFonts w:hint="default" w:cs="宋体"/>
          <w:spacing w:val="-3"/>
          <w:sz w:val="28"/>
          <w:szCs w:val="28"/>
          <w:lang w:val="en-US" w:eastAsia="zh-CN"/>
        </w:rPr>
        <w:t>GB 18580 室内装饰装修材料 人造板及其制品中甲醛释放限量</w:t>
      </w:r>
    </w:p>
    <w:p w14:paraId="29D80F4E">
      <w:pPr>
        <w:pStyle w:val="2"/>
        <w:spacing w:before="156" w:line="240" w:lineRule="auto"/>
        <w:ind w:firstLine="822" w:firstLineChars="300"/>
        <w:rPr>
          <w:rFonts w:hint="default" w:cs="宋体"/>
          <w:spacing w:val="-3"/>
          <w:sz w:val="28"/>
          <w:szCs w:val="28"/>
          <w:lang w:val="en-US" w:eastAsia="zh-CN"/>
        </w:rPr>
      </w:pPr>
      <w:r>
        <w:rPr>
          <w:rFonts w:hint="default" w:cs="宋体"/>
          <w:spacing w:val="-3"/>
          <w:sz w:val="28"/>
          <w:szCs w:val="28"/>
          <w:lang w:val="en-US" w:eastAsia="zh-CN"/>
        </w:rPr>
        <w:t>GB/T 39600 人造板及其制品甲醛释放量分级</w:t>
      </w:r>
    </w:p>
    <w:p w14:paraId="6C957427">
      <w:pPr>
        <w:pStyle w:val="2"/>
        <w:spacing w:before="156" w:line="240" w:lineRule="auto"/>
        <w:ind w:firstLine="822" w:firstLineChars="300"/>
        <w:rPr>
          <w:rFonts w:hint="eastAsia" w:ascii="宋体" w:hAnsi="宋体" w:eastAsia="宋体" w:cs="宋体"/>
          <w:spacing w:val="-3"/>
          <w:sz w:val="28"/>
          <w:szCs w:val="28"/>
          <w:lang w:eastAsia="zh-CN"/>
        </w:rPr>
      </w:pPr>
      <w:bookmarkStart w:id="0" w:name="_GoBack"/>
      <w:bookmarkEnd w:id="0"/>
      <w:r>
        <w:rPr>
          <w:rFonts w:hint="eastAsia" w:ascii="宋体" w:hAnsi="宋体" w:eastAsia="宋体" w:cs="宋体"/>
          <w:spacing w:val="-3"/>
          <w:sz w:val="28"/>
          <w:szCs w:val="28"/>
          <w:lang w:eastAsia="zh-CN"/>
        </w:rPr>
        <w:t>现行有效的企业标准、团体标准、地方标准及产品明示质量要求</w:t>
      </w:r>
    </w:p>
    <w:p w14:paraId="1042D86C">
      <w:pPr>
        <w:pStyle w:val="2"/>
        <w:spacing w:before="156" w:line="240" w:lineRule="auto"/>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3.2 判定原则</w:t>
      </w:r>
    </w:p>
    <w:p w14:paraId="2E47567B">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经检验，检验项目全部合格，判定为被抽查产品所检项目合格；检验项目中任一项或一项以上不合格，判定为被抽查产品不合格。</w:t>
      </w:r>
    </w:p>
    <w:p w14:paraId="10901E4B">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若被检产品明示的质量要求高于本细则中检验项目依据的标准要求时，应按被检产品明示的质量要求判定。</w:t>
      </w:r>
    </w:p>
    <w:p w14:paraId="4FB3725C">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若被检产品明示的质量要求低于本细则中检验项目依据的强制性标准要求时，应按照强制性标准要求判定。</w:t>
      </w:r>
    </w:p>
    <w:p w14:paraId="432137C6">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若被检产品明示的质量要求低于或包含本细则中检验项目依据的推荐性标准要求时，应以被检产品明示的质量要求判定。</w:t>
      </w:r>
    </w:p>
    <w:p w14:paraId="6D8CE391">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若被检产品明示的质量要求缺少本细则中检验项目依据的强制性标准要求时，应按照强制性标准要求判定。</w:t>
      </w:r>
    </w:p>
    <w:p w14:paraId="515FB3E4">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若被检产品明示的质量要求缺少本细则中检验项目依据的推荐性标准要求时，该项目不参与判定，但应在检验报告备注中进行说明。</w:t>
      </w:r>
    </w:p>
    <w:p w14:paraId="0A2A6F92">
      <w:pPr>
        <w:pStyle w:val="2"/>
        <w:spacing w:before="156" w:line="240" w:lineRule="auto"/>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4 异议复检</w:t>
      </w:r>
    </w:p>
    <w:p w14:paraId="76B2F3AD">
      <w:pPr>
        <w:pStyle w:val="2"/>
        <w:spacing w:before="156" w:line="240" w:lineRule="auto"/>
        <w:ind w:firstLine="548" w:firstLineChars="200"/>
        <w:rPr>
          <w:rFonts w:hint="eastAsia" w:ascii="宋体" w:hAnsi="宋体" w:eastAsia="宋体" w:cs="宋体"/>
          <w:spacing w:val="-3"/>
          <w:sz w:val="28"/>
          <w:szCs w:val="28"/>
          <w:lang w:eastAsia="zh-CN"/>
        </w:rPr>
      </w:pPr>
      <w:r>
        <w:rPr>
          <w:rFonts w:hint="eastAsia" w:ascii="宋体" w:hAnsi="宋体" w:eastAsia="宋体" w:cs="宋体"/>
          <w:spacing w:val="-3"/>
          <w:sz w:val="28"/>
          <w:szCs w:val="28"/>
          <w:lang w:eastAsia="zh-CN"/>
        </w:rPr>
        <w:t>本细则中确定的全部检验项目， 采用备用样品进行复检。</w:t>
      </w:r>
    </w:p>
    <w:sectPr>
      <w:footerReference r:id="rId5" w:type="default"/>
      <w:pgSz w:w="11907" w:h="16839"/>
      <w:pgMar w:top="1431" w:right="1471" w:bottom="1559" w:left="1480" w:header="0" w:footer="1398"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CF263">
    <w:pPr>
      <w:spacing w:line="174" w:lineRule="auto"/>
      <w:ind w:left="4429"/>
      <w:rPr>
        <w:rFonts w:ascii="Times New Roman" w:hAnsi="Times New Roman" w:eastAsia="Times New Roman" w:cs="Times New Roman"/>
        <w:sz w:val="18"/>
        <w:szCs w:val="18"/>
      </w:rPr>
    </w:pPr>
    <w:r>
      <w:rPr>
        <w:rFonts w:ascii="Times New Roman" w:hAnsi="Times New Roman" w:eastAsia="Times New Roman" w:cs="Times New Roman"/>
        <w:sz w:val="18"/>
        <w:szCs w:val="18"/>
      </w:rPr>
      <w:t>2</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F68A89D"/>
    <w:multiLevelType w:val="multilevel"/>
    <w:tmpl w:val="EF68A89D"/>
    <w:lvl w:ilvl="0" w:tentative="0">
      <w:start w:val="1"/>
      <w:numFmt w:val="decimal"/>
      <w:suff w:val="space"/>
      <w:lvlText w:val="%1"/>
      <w:lvlJc w:val="left"/>
      <w:pPr>
        <w:ind w:left="0" w:leftChars="0" w:firstLine="0" w:firstLineChars="0"/>
      </w:pPr>
      <w:rPr>
        <w:rFonts w:hint="default"/>
      </w:rPr>
    </w:lvl>
    <w:lvl w:ilvl="1" w:tentative="0">
      <w:start w:val="1"/>
      <w:numFmt w:val="decimal"/>
      <w:suff w:val="space"/>
      <w:lvlText w:val="%1.%2"/>
      <w:lvlJc w:val="left"/>
      <w:pPr>
        <w:ind w:left="0" w:leftChars="0" w:firstLine="0" w:firstLineChars="0"/>
      </w:pPr>
      <w:rPr>
        <w:rFonts w:hint="default"/>
      </w:rPr>
    </w:lvl>
    <w:lvl w:ilvl="2" w:tentative="0">
      <w:start w:val="1"/>
      <w:numFmt w:val="decimal"/>
      <w:suff w:val="space"/>
      <w:lvlText w:val="%1.%2.%3"/>
      <w:lvlJc w:val="left"/>
      <w:pPr>
        <w:ind w:left="0" w:leftChars="0" w:firstLine="0" w:firstLineChars="0"/>
      </w:pPr>
      <w:rPr>
        <w:rFonts w:hint="default"/>
      </w:rPr>
    </w:lvl>
    <w:lvl w:ilvl="3" w:tentative="0">
      <w:start w:val="1"/>
      <w:numFmt w:val="decimal"/>
      <w:suff w:val="space"/>
      <w:lvlText w:val="%1.%2.%3.%4"/>
      <w:lvlJc w:val="left"/>
      <w:pPr>
        <w:ind w:left="0" w:leftChars="0" w:firstLine="0" w:firstLineChars="0"/>
      </w:pPr>
      <w:rPr>
        <w:rFonts w:hint="default"/>
      </w:rPr>
    </w:lvl>
    <w:lvl w:ilvl="4" w:tentative="0">
      <w:start w:val="1"/>
      <w:numFmt w:val="decimal"/>
      <w:suff w:val="space"/>
      <w:lvlText w:val="%1.%2.%3.%4.%5"/>
      <w:lvlJc w:val="left"/>
      <w:pPr>
        <w:ind w:left="0" w:leftChars="0" w:firstLine="0" w:firstLineChars="0"/>
      </w:pPr>
      <w:rPr>
        <w:rFonts w:hint="default"/>
      </w:rPr>
    </w:lvl>
    <w:lvl w:ilvl="5" w:tentative="0">
      <w:start w:val="1"/>
      <w:numFmt w:val="decimal"/>
      <w:suff w:val="space"/>
      <w:lvlText w:val="%1.%2.%3.%4.%5.%6"/>
      <w:lvlJc w:val="left"/>
      <w:pPr>
        <w:ind w:left="0" w:leftChars="0" w:firstLine="0" w:firstLineChars="0"/>
      </w:pPr>
      <w:rPr>
        <w:rFonts w:hint="default"/>
      </w:rPr>
    </w:lvl>
    <w:lvl w:ilvl="6" w:tentative="0">
      <w:start w:val="1"/>
      <w:numFmt w:val="decimal"/>
      <w:suff w:val="space"/>
      <w:lvlText w:val="%1.%2.%3.%4.%5.%6.%7"/>
      <w:lvlJc w:val="left"/>
      <w:pPr>
        <w:ind w:left="0" w:leftChars="0" w:firstLine="0" w:firstLineChars="0"/>
      </w:pPr>
      <w:rPr>
        <w:rFonts w:hint="default"/>
      </w:rPr>
    </w:lvl>
    <w:lvl w:ilvl="7" w:tentative="0">
      <w:start w:val="1"/>
      <w:numFmt w:val="decimal"/>
      <w:suff w:val="space"/>
      <w:lvlText w:val="%1.%2.%3.%4.%5.%6.%7.%8"/>
      <w:lvlJc w:val="left"/>
      <w:pPr>
        <w:ind w:left="0" w:leftChars="0" w:firstLine="0" w:firstLineChars="0"/>
      </w:pPr>
      <w:rPr>
        <w:rFonts w:hint="default"/>
      </w:rPr>
    </w:lvl>
    <w:lvl w:ilvl="8" w:tentative="0">
      <w:start w:val="1"/>
      <w:numFmt w:val="decimal"/>
      <w:suff w:val="space"/>
      <w:lvlText w:val="%1.%2.%3.%4.%5.%6.%7.%8.%9"/>
      <w:lvlJc w:val="left"/>
      <w:pPr>
        <w:ind w:left="0" w:leftChars="0" w:firstLine="0" w:firstLineChars="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5"/>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jNjOWJjZWRlNDJjM2M1M2M2MDEzY2Y5NzZiODM0N2MifQ=="/>
  </w:docVars>
  <w:rsids>
    <w:rsidRoot w:val="00000000"/>
    <w:rsid w:val="021A62C1"/>
    <w:rsid w:val="02CB22BD"/>
    <w:rsid w:val="047D1B99"/>
    <w:rsid w:val="04A853C0"/>
    <w:rsid w:val="06622E44"/>
    <w:rsid w:val="0C265565"/>
    <w:rsid w:val="0D1B5FC6"/>
    <w:rsid w:val="15035321"/>
    <w:rsid w:val="15DB629E"/>
    <w:rsid w:val="1B886EAC"/>
    <w:rsid w:val="1D077D4E"/>
    <w:rsid w:val="1E820802"/>
    <w:rsid w:val="20C938C2"/>
    <w:rsid w:val="21A56FE5"/>
    <w:rsid w:val="25254B66"/>
    <w:rsid w:val="25672D36"/>
    <w:rsid w:val="283E4B96"/>
    <w:rsid w:val="295B3526"/>
    <w:rsid w:val="2A0F74D5"/>
    <w:rsid w:val="2B287437"/>
    <w:rsid w:val="2B501C69"/>
    <w:rsid w:val="30136908"/>
    <w:rsid w:val="336F1881"/>
    <w:rsid w:val="351D3D85"/>
    <w:rsid w:val="40277C2A"/>
    <w:rsid w:val="413200D3"/>
    <w:rsid w:val="42992B84"/>
    <w:rsid w:val="43A330E3"/>
    <w:rsid w:val="469614E5"/>
    <w:rsid w:val="46FA3F26"/>
    <w:rsid w:val="50E517A3"/>
    <w:rsid w:val="59CF2FF0"/>
    <w:rsid w:val="5A2369F5"/>
    <w:rsid w:val="5B9F1A9A"/>
    <w:rsid w:val="638F0892"/>
    <w:rsid w:val="65197815"/>
    <w:rsid w:val="68356714"/>
    <w:rsid w:val="735A34D3"/>
    <w:rsid w:val="78A518F4"/>
    <w:rsid w:val="7BBF080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semiHidden/>
    <w:qFormat/>
    <w:uiPriority w:val="0"/>
    <w:rPr>
      <w:rFonts w:ascii="宋体" w:hAnsi="宋体" w:eastAsia="宋体" w:cs="宋体"/>
      <w:sz w:val="21"/>
      <w:szCs w:val="21"/>
      <w:lang w:val="en-US" w:eastAsia="en-US" w:bidi="ar-SA"/>
    </w:rPr>
  </w:style>
  <w:style w:type="table" w:styleId="4">
    <w:name w:val="Table Grid"/>
    <w:basedOn w:val="3"/>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
    <w:name w:val="Table Normal"/>
    <w:semiHidden/>
    <w:unhideWhenUsed/>
    <w:qFormat/>
    <w:uiPriority w:val="0"/>
    <w:tblPr>
      <w:tblCellMar>
        <w:top w:w="0" w:type="dxa"/>
        <w:left w:w="0" w:type="dxa"/>
        <w:bottom w:w="0" w:type="dxa"/>
        <w:right w:w="0" w:type="dxa"/>
      </w:tblCellMar>
    </w:tblPr>
  </w:style>
  <w:style w:type="paragraph" w:customStyle="1" w:styleId="7">
    <w:name w:val="Table Text"/>
    <w:basedOn w:val="1"/>
    <w:semiHidden/>
    <w:qFormat/>
    <w:uiPriority w:val="0"/>
    <w:rPr>
      <w:rFonts w:ascii="宋体" w:hAnsi="宋体" w:eastAsia="宋体" w:cs="宋体"/>
      <w:sz w:val="21"/>
      <w:szCs w:val="21"/>
      <w:lang w:val="en-US" w:eastAsia="en-U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2</Pages>
  <Words>740</Words>
  <Characters>762</Characters>
  <TotalTime>84</TotalTime>
  <ScaleCrop>false</ScaleCrop>
  <LinksUpToDate>false</LinksUpToDate>
  <CharactersWithSpaces>783</CharactersWithSpaces>
  <Application>WPS Office_12.1.0.25225_F1E327BC-269C-435d-A152-05C5408002CA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2023-02-28T17:56:00Z</dcterms:created>
  <dc:creator>Legend User</dc:creator>
  <cp:lastModifiedBy>创信检测</cp:lastModifiedBy>
  <dcterms:modified xsi:type="dcterms:W3CDTF">2026-03-14T05:16:52Z</dcterms:modified>
  <dc:title>××产品质量监督抽查实施细则</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wqlLaW5nc29mdCBQREYgdG8gV1BTIDkw</vt:lpwstr>
  </property>
  <property fmtid="{D5CDD505-2E9C-101B-9397-08002B2CF9AE}" pid="3" name="Created">
    <vt:filetime>2023-06-20T11:41:55Z</vt:filetime>
  </property>
  <property fmtid="{D5CDD505-2E9C-101B-9397-08002B2CF9AE}" pid="4" name="KSOProductBuildVer">
    <vt:lpwstr>2052-12.1.0.25225</vt:lpwstr>
  </property>
  <property fmtid="{D5CDD505-2E9C-101B-9397-08002B2CF9AE}" pid="5" name="ICV">
    <vt:lpwstr>EF30A693F59140E8AED3D9FE4A79728F_12</vt:lpwstr>
  </property>
  <property fmtid="{D5CDD505-2E9C-101B-9397-08002B2CF9AE}" pid="6" name="KSOTemplateDocerSaveRecord">
    <vt:lpwstr>eyJoZGlkIjoiOTdiNzZkOTk1ODVkM2NjNmU3NDdhZjI1NDFkMDc1ZDQiLCJ1c2VySWQiOiI5OTAwOTk0MDkifQ==</vt:lpwstr>
  </property>
</Properties>
</file>