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D5602">
      <w:pPr>
        <w:pStyle w:val="3"/>
        <w:spacing w:before="56" w:line="220" w:lineRule="auto"/>
        <w:jc w:val="center"/>
        <w:outlineLvl w:val="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lang w:eastAsia="zh-CN"/>
        </w:rPr>
        <w:t>枣庄市</w:t>
      </w:r>
      <w:r>
        <w:rPr>
          <w:rFonts w:hint="eastAsia" w:asciiTheme="minorEastAsia" w:hAnsiTheme="minorEastAsia" w:eastAsiaTheme="minorEastAsia" w:cstheme="minorEastAsia"/>
          <w:b w:val="0"/>
          <w:bCs w:val="0"/>
          <w:spacing w:val="-4"/>
          <w:sz w:val="28"/>
          <w:szCs w:val="28"/>
          <w:lang w:val="en-US" w:eastAsia="zh-CN"/>
        </w:rPr>
        <w:t>胶粘剂</w:t>
      </w:r>
      <w:r>
        <w:rPr>
          <w:rFonts w:hint="eastAsia" w:asciiTheme="minorEastAsia" w:hAnsiTheme="minorEastAsia" w:eastAsiaTheme="minorEastAsia" w:cstheme="minorEastAsia"/>
          <w:b w:val="0"/>
          <w:bCs w:val="0"/>
          <w:spacing w:val="-4"/>
          <w:sz w:val="28"/>
          <w:szCs w:val="28"/>
        </w:rPr>
        <w:t>产品质量监督抽查实施细则</w:t>
      </w:r>
    </w:p>
    <w:p w14:paraId="46D456C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1</w:t>
      </w:r>
      <w:r>
        <w:rPr>
          <w:rFonts w:hint="eastAsia" w:asciiTheme="minorEastAsia" w:hAnsiTheme="minorEastAsia" w:eastAsiaTheme="minorEastAsia" w:cstheme="minorEastAsia"/>
          <w:b w:val="0"/>
          <w:bCs w:val="0"/>
          <w:spacing w:val="15"/>
          <w:sz w:val="28"/>
          <w:szCs w:val="28"/>
        </w:rPr>
        <w:t xml:space="preserve"> </w:t>
      </w:r>
      <w:r>
        <w:rPr>
          <w:rFonts w:hint="eastAsia" w:asciiTheme="minorEastAsia" w:hAnsiTheme="minorEastAsia" w:eastAsiaTheme="minorEastAsia" w:cstheme="minorEastAsia"/>
          <w:b w:val="0"/>
          <w:bCs w:val="0"/>
          <w:spacing w:val="-5"/>
          <w:sz w:val="28"/>
          <w:szCs w:val="28"/>
        </w:rPr>
        <w:t>抽样</w:t>
      </w:r>
    </w:p>
    <w:p w14:paraId="426F872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1.1</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抽样方法</w:t>
      </w:r>
    </w:p>
    <w:p w14:paraId="5646F4B5">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0" w:firstLine="592" w:firstLineChars="200"/>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rPr>
        <w:t>以随机抽样的方式在被抽样生产者、销售者的待销产品中抽取。</w:t>
      </w:r>
    </w:p>
    <w:p w14:paraId="6C6EF2D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1.2</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抽样基数</w:t>
      </w:r>
    </w:p>
    <w:p w14:paraId="46EFE26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2" w:firstLineChars="200"/>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rPr>
        <w:t>抽查样品基数满足抽样数量即可。</w:t>
      </w:r>
    </w:p>
    <w:p w14:paraId="4D9DA44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1.3</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抽样数量</w:t>
      </w:r>
    </w:p>
    <w:p w14:paraId="389AF9E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left"/>
        <w:textAlignment w:val="baseline"/>
        <w:rPr>
          <w:rFonts w:hint="eastAsia" w:asciiTheme="minorEastAsia" w:hAnsiTheme="minorEastAsia" w:eastAsiaTheme="minorEastAsia" w:cstheme="minorEastAsia"/>
          <w:b w:val="0"/>
          <w:bCs w:val="0"/>
          <w:spacing w:val="7"/>
          <w:position w:val="15"/>
          <w:sz w:val="28"/>
          <w:szCs w:val="28"/>
          <w:lang w:eastAsia="zh-CN"/>
        </w:rPr>
      </w:pPr>
      <w:r>
        <w:rPr>
          <w:rFonts w:hint="eastAsia" w:asciiTheme="minorEastAsia" w:hAnsiTheme="minorEastAsia" w:eastAsiaTheme="minorEastAsia" w:cstheme="minorEastAsia"/>
          <w:b w:val="0"/>
          <w:bCs w:val="0"/>
          <w:spacing w:val="7"/>
          <w:position w:val="15"/>
          <w:sz w:val="28"/>
          <w:szCs w:val="28"/>
          <w:lang w:val="en-US" w:eastAsia="zh-CN"/>
        </w:rPr>
        <w:t xml:space="preserve">    </w:t>
      </w:r>
      <w:r>
        <w:rPr>
          <w:rFonts w:hint="eastAsia" w:asciiTheme="minorEastAsia" w:hAnsiTheme="minorEastAsia" w:eastAsiaTheme="minorEastAsia" w:cstheme="minorEastAsia"/>
          <w:b w:val="0"/>
          <w:bCs w:val="0"/>
          <w:spacing w:val="7"/>
          <w:position w:val="15"/>
          <w:sz w:val="28"/>
          <w:szCs w:val="28"/>
        </w:rPr>
        <w:t>抽取2份，其中1份作</w:t>
      </w:r>
      <w:r>
        <w:rPr>
          <w:rFonts w:hint="eastAsia" w:asciiTheme="minorEastAsia" w:hAnsiTheme="minorEastAsia" w:eastAsiaTheme="minorEastAsia" w:cstheme="minorEastAsia"/>
          <w:b w:val="0"/>
          <w:bCs w:val="0"/>
          <w:spacing w:val="7"/>
          <w:position w:val="15"/>
          <w:sz w:val="28"/>
          <w:szCs w:val="28"/>
          <w:lang w:eastAsia="zh-CN"/>
        </w:rPr>
        <w:t>为</w:t>
      </w:r>
      <w:r>
        <w:rPr>
          <w:rFonts w:hint="eastAsia" w:asciiTheme="minorEastAsia" w:hAnsiTheme="minorEastAsia" w:eastAsiaTheme="minorEastAsia" w:cstheme="minorEastAsia"/>
          <w:b w:val="0"/>
          <w:bCs w:val="0"/>
          <w:spacing w:val="7"/>
          <w:position w:val="15"/>
          <w:sz w:val="28"/>
          <w:szCs w:val="28"/>
        </w:rPr>
        <w:t>检验</w:t>
      </w:r>
      <w:r>
        <w:rPr>
          <w:rFonts w:hint="eastAsia" w:asciiTheme="minorEastAsia" w:hAnsiTheme="minorEastAsia" w:eastAsiaTheme="minorEastAsia" w:cstheme="minorEastAsia"/>
          <w:b w:val="0"/>
          <w:bCs w:val="0"/>
          <w:spacing w:val="7"/>
          <w:position w:val="15"/>
          <w:sz w:val="28"/>
          <w:szCs w:val="28"/>
          <w:lang w:eastAsia="zh-CN"/>
        </w:rPr>
        <w:t>样品</w:t>
      </w:r>
      <w:r>
        <w:rPr>
          <w:rFonts w:hint="eastAsia" w:asciiTheme="minorEastAsia" w:hAnsiTheme="minorEastAsia" w:eastAsiaTheme="minorEastAsia" w:cstheme="minorEastAsia"/>
          <w:b w:val="0"/>
          <w:bCs w:val="0"/>
          <w:spacing w:val="7"/>
          <w:position w:val="15"/>
          <w:sz w:val="28"/>
          <w:szCs w:val="28"/>
        </w:rPr>
        <w:t>，另1份作为备用样品。(每份样品不得小于0.5kg;样量小于0.5kg时,应当抽取总质量不低于0.5kg的最少完整包装。)如有配套固化剂则按照配比抽</w:t>
      </w:r>
      <w:r>
        <w:rPr>
          <w:rFonts w:hint="eastAsia" w:asciiTheme="minorEastAsia" w:hAnsiTheme="minorEastAsia" w:eastAsiaTheme="minorEastAsia" w:cstheme="minorEastAsia"/>
          <w:b w:val="0"/>
          <w:bCs w:val="0"/>
          <w:spacing w:val="7"/>
          <w:position w:val="15"/>
          <w:sz w:val="28"/>
          <w:szCs w:val="28"/>
          <w:lang w:eastAsia="zh-CN"/>
        </w:rPr>
        <w:t>取。</w:t>
      </w:r>
      <w:r>
        <w:rPr>
          <w:rFonts w:hint="eastAsia" w:asciiTheme="minorEastAsia" w:hAnsiTheme="minorEastAsia" w:eastAsiaTheme="minorEastAsia" w:cstheme="minorEastAsia"/>
          <w:b w:val="0"/>
          <w:bCs w:val="0"/>
          <w:spacing w:val="7"/>
          <w:position w:val="15"/>
          <w:sz w:val="28"/>
          <w:szCs w:val="28"/>
        </w:rPr>
        <w:t>当单件样品无法满足标准规定的制样尺寸时，可适当抽取符合要求的样品数量</w:t>
      </w:r>
      <w:r>
        <w:rPr>
          <w:rFonts w:hint="eastAsia" w:asciiTheme="minorEastAsia" w:hAnsiTheme="minorEastAsia" w:eastAsiaTheme="minorEastAsia" w:cstheme="minorEastAsia"/>
          <w:b w:val="0"/>
          <w:bCs w:val="0"/>
          <w:spacing w:val="7"/>
          <w:position w:val="15"/>
          <w:sz w:val="28"/>
          <w:szCs w:val="28"/>
          <w:lang w:eastAsia="zh-CN"/>
        </w:rPr>
        <w:t>。</w:t>
      </w:r>
    </w:p>
    <w:p w14:paraId="192B6EF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2</w:t>
      </w:r>
      <w:r>
        <w:rPr>
          <w:rFonts w:hint="eastAsia" w:asciiTheme="minorEastAsia" w:hAnsiTheme="minorEastAsia" w:eastAsiaTheme="minorEastAsia" w:cstheme="minorEastAsia"/>
          <w:b w:val="0"/>
          <w:bCs w:val="0"/>
          <w:spacing w:val="6"/>
          <w:sz w:val="28"/>
          <w:szCs w:val="28"/>
        </w:rPr>
        <w:t xml:space="preserve"> </w:t>
      </w:r>
      <w:r>
        <w:rPr>
          <w:rFonts w:hint="eastAsia" w:asciiTheme="minorEastAsia" w:hAnsiTheme="minorEastAsia" w:eastAsiaTheme="minorEastAsia" w:cstheme="minorEastAsia"/>
          <w:b w:val="0"/>
          <w:bCs w:val="0"/>
          <w:spacing w:val="6"/>
          <w:sz w:val="28"/>
          <w:szCs w:val="28"/>
        </w:rPr>
        <w:t>检验项目及检测方法</w:t>
      </w:r>
    </w:p>
    <w:p w14:paraId="05010C29">
      <w:pPr>
        <w:pStyle w:val="3"/>
        <w:spacing w:before="123" w:line="228" w:lineRule="auto"/>
        <w:ind w:left="298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表</w:t>
      </w:r>
      <w:r>
        <w:rPr>
          <w:rFonts w:hint="eastAsia" w:asciiTheme="minorEastAsia" w:hAnsiTheme="minorEastAsia" w:eastAsiaTheme="minorEastAsia" w:cstheme="minorEastAsia"/>
          <w:b w:val="0"/>
          <w:bCs w:val="0"/>
          <w:spacing w:val="-17"/>
          <w:sz w:val="28"/>
          <w:szCs w:val="28"/>
        </w:rPr>
        <w:t xml:space="preserve"> </w:t>
      </w:r>
      <w:r>
        <w:rPr>
          <w:rFonts w:hint="eastAsia" w:asciiTheme="minorEastAsia" w:hAnsiTheme="minorEastAsia" w:eastAsiaTheme="minorEastAsia" w:cstheme="minorEastAsia"/>
          <w:b w:val="0"/>
          <w:bCs w:val="0"/>
          <w:spacing w:val="-17"/>
          <w:sz w:val="28"/>
          <w:szCs w:val="28"/>
          <w:lang w:val="en-US" w:eastAsia="zh-CN"/>
        </w:rPr>
        <w:t>2</w:t>
      </w:r>
      <w:r>
        <w:rPr>
          <w:rFonts w:hint="eastAsia" w:asciiTheme="minorEastAsia" w:hAnsiTheme="minorEastAsia" w:eastAsiaTheme="minorEastAsia" w:cstheme="minorEastAsia"/>
          <w:b w:val="0"/>
          <w:bCs w:val="0"/>
          <w:spacing w:val="-17"/>
          <w:sz w:val="28"/>
          <w:szCs w:val="28"/>
          <w:lang w:val="en-US" w:eastAsia="zh-CN"/>
        </w:rPr>
        <w:t>-</w:t>
      </w:r>
      <w:r>
        <w:rPr>
          <w:rFonts w:hint="eastAsia" w:asciiTheme="minorEastAsia" w:hAnsiTheme="minorEastAsia" w:eastAsiaTheme="minorEastAsia" w:cstheme="minorEastAsia"/>
          <w:b w:val="0"/>
          <w:bCs w:val="0"/>
          <w:spacing w:val="5"/>
          <w:sz w:val="28"/>
          <w:szCs w:val="28"/>
        </w:rPr>
        <w:t>1</w:t>
      </w:r>
      <w:r>
        <w:rPr>
          <w:rFonts w:hint="eastAsia" w:asciiTheme="minorEastAsia" w:hAnsiTheme="minorEastAsia" w:eastAsiaTheme="minorEastAsia" w:cstheme="minorEastAsia"/>
          <w:b w:val="0"/>
          <w:bCs w:val="0"/>
          <w:spacing w:val="5"/>
          <w:sz w:val="28"/>
          <w:szCs w:val="28"/>
        </w:rPr>
        <w:t xml:space="preserve"> </w:t>
      </w:r>
      <w:r>
        <w:rPr>
          <w:rFonts w:hint="eastAsia" w:asciiTheme="minorEastAsia" w:hAnsiTheme="minorEastAsia" w:eastAsiaTheme="minorEastAsia" w:cstheme="minorEastAsia"/>
          <w:b w:val="0"/>
          <w:bCs w:val="0"/>
          <w:spacing w:val="5"/>
          <w:sz w:val="28"/>
          <w:szCs w:val="28"/>
          <w:lang w:val="en-US" w:eastAsia="zh-CN"/>
        </w:rPr>
        <w:t>胶粘剂</w:t>
      </w:r>
      <w:r>
        <w:rPr>
          <w:rFonts w:hint="eastAsia" w:asciiTheme="minorEastAsia" w:hAnsiTheme="minorEastAsia" w:eastAsiaTheme="minorEastAsia" w:cstheme="minorEastAsia"/>
          <w:b w:val="0"/>
          <w:bCs w:val="0"/>
          <w:spacing w:val="5"/>
          <w:sz w:val="28"/>
          <w:szCs w:val="28"/>
        </w:rPr>
        <w:t>产品检验项目</w:t>
      </w:r>
    </w:p>
    <w:tbl>
      <w:tblPr>
        <w:tblStyle w:val="5"/>
        <w:tblW w:w="7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0"/>
        <w:gridCol w:w="3652"/>
        <w:gridCol w:w="1854"/>
      </w:tblGrid>
      <w:tr w14:paraId="699AF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2350" w:type="dxa"/>
            <w:vAlign w:val="center"/>
          </w:tcPr>
          <w:p w14:paraId="6B52799C">
            <w:pPr>
              <w:pStyle w:val="8"/>
              <w:widowControl w:val="0"/>
              <w:spacing w:before="65" w:line="229" w:lineRule="auto"/>
              <w:jc w:val="center"/>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产品种型</w:t>
            </w:r>
          </w:p>
        </w:tc>
        <w:tc>
          <w:tcPr>
            <w:tcW w:w="3652" w:type="dxa"/>
            <w:vAlign w:val="center"/>
          </w:tcPr>
          <w:p w14:paraId="18277C8B">
            <w:pPr>
              <w:pStyle w:val="8"/>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检验项目</w:t>
            </w:r>
          </w:p>
        </w:tc>
        <w:tc>
          <w:tcPr>
            <w:tcW w:w="1854" w:type="dxa"/>
            <w:vAlign w:val="center"/>
          </w:tcPr>
          <w:p w14:paraId="51178DAA">
            <w:pPr>
              <w:pStyle w:val="8"/>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检验方法</w:t>
            </w:r>
          </w:p>
        </w:tc>
      </w:tr>
      <w:tr w14:paraId="6DD90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50" w:type="dxa"/>
            <w:vMerge w:val="restart"/>
            <w:vAlign w:val="center"/>
          </w:tcPr>
          <w:p w14:paraId="08106DE3">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溶剂型胶粘剂</w:t>
            </w:r>
          </w:p>
        </w:tc>
        <w:tc>
          <w:tcPr>
            <w:tcW w:w="3652" w:type="dxa"/>
            <w:vAlign w:val="center"/>
          </w:tcPr>
          <w:p w14:paraId="0C0CED41">
            <w:pPr>
              <w:pStyle w:val="3"/>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color w:val="auto"/>
                <w:spacing w:val="7"/>
                <w:sz w:val="28"/>
                <w:szCs w:val="28"/>
                <w:lang w:val="en-US" w:eastAsia="zh-CN"/>
              </w:rPr>
              <w:t> 总挥发性有机物（VOC）</w:t>
            </w:r>
          </w:p>
        </w:tc>
        <w:tc>
          <w:tcPr>
            <w:tcW w:w="1854" w:type="dxa"/>
            <w:vMerge w:val="restart"/>
            <w:vAlign w:val="center"/>
          </w:tcPr>
          <w:p w14:paraId="6F160CA8">
            <w:pPr>
              <w:pStyle w:val="3"/>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GB 18583</w:t>
            </w:r>
          </w:p>
        </w:tc>
      </w:tr>
      <w:tr w14:paraId="38DBE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50" w:type="dxa"/>
            <w:vMerge w:val="continue"/>
            <w:vAlign w:val="center"/>
          </w:tcPr>
          <w:p w14:paraId="02C87A34">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p>
        </w:tc>
        <w:tc>
          <w:tcPr>
            <w:tcW w:w="3652" w:type="dxa"/>
            <w:vAlign w:val="center"/>
          </w:tcPr>
          <w:p w14:paraId="3B89601E">
            <w:pPr>
              <w:pStyle w:val="8"/>
              <w:widowControl w:val="0"/>
              <w:spacing w:before="65" w:line="228" w:lineRule="auto"/>
              <w:jc w:val="center"/>
              <w:rPr>
                <w:rFonts w:hint="eastAsia" w:asciiTheme="minorEastAsia" w:hAnsiTheme="minorEastAsia" w:eastAsiaTheme="minorEastAsia" w:cstheme="minorEastAsia"/>
                <w:b w:val="0"/>
                <w:bCs w:val="0"/>
                <w:snapToGrid w:val="0"/>
                <w:color w:val="auto"/>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auto"/>
                <w:spacing w:val="7"/>
                <w:kern w:val="0"/>
                <w:sz w:val="28"/>
                <w:szCs w:val="28"/>
                <w:lang w:val="en-US" w:eastAsia="zh-CN" w:bidi="ar-SA"/>
              </w:rPr>
              <w:t>苯</w:t>
            </w:r>
          </w:p>
        </w:tc>
        <w:tc>
          <w:tcPr>
            <w:tcW w:w="1854" w:type="dxa"/>
            <w:vMerge w:val="continue"/>
            <w:vAlign w:val="top"/>
          </w:tcPr>
          <w:p w14:paraId="5E52CE80">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p>
        </w:tc>
      </w:tr>
      <w:tr w14:paraId="168D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50" w:type="dxa"/>
            <w:vMerge w:val="continue"/>
            <w:vAlign w:val="center"/>
          </w:tcPr>
          <w:p w14:paraId="59DA740E">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p>
        </w:tc>
        <w:tc>
          <w:tcPr>
            <w:tcW w:w="3652" w:type="dxa"/>
            <w:vAlign w:val="center"/>
          </w:tcPr>
          <w:p w14:paraId="5EF37403">
            <w:pPr>
              <w:pStyle w:val="8"/>
              <w:widowControl w:val="0"/>
              <w:spacing w:before="65" w:line="228" w:lineRule="auto"/>
              <w:jc w:val="center"/>
              <w:rPr>
                <w:rFonts w:hint="eastAsia" w:asciiTheme="minorEastAsia" w:hAnsiTheme="minorEastAsia" w:eastAsiaTheme="minorEastAsia" w:cstheme="minorEastAsia"/>
                <w:b w:val="0"/>
                <w:bCs w:val="0"/>
                <w:snapToGrid w:val="0"/>
                <w:color w:val="auto"/>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auto"/>
                <w:spacing w:val="7"/>
                <w:kern w:val="0"/>
                <w:sz w:val="28"/>
                <w:szCs w:val="28"/>
                <w:lang w:val="en-US" w:eastAsia="zh-CN" w:bidi="ar-SA"/>
              </w:rPr>
              <w:t> 甲苯+二甲苯</w:t>
            </w:r>
          </w:p>
        </w:tc>
        <w:tc>
          <w:tcPr>
            <w:tcW w:w="1854" w:type="dxa"/>
            <w:vMerge w:val="continue"/>
            <w:vAlign w:val="top"/>
          </w:tcPr>
          <w:p w14:paraId="1AA12FCF">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p>
        </w:tc>
      </w:tr>
      <w:tr w14:paraId="34C96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50" w:type="dxa"/>
            <w:vMerge w:val="continue"/>
            <w:vAlign w:val="center"/>
          </w:tcPr>
          <w:p w14:paraId="52554A77">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p>
        </w:tc>
        <w:tc>
          <w:tcPr>
            <w:tcW w:w="3652" w:type="dxa"/>
            <w:vAlign w:val="center"/>
          </w:tcPr>
          <w:p w14:paraId="65C16F19">
            <w:pPr>
              <w:pStyle w:val="8"/>
              <w:widowControl w:val="0"/>
              <w:spacing w:before="65" w:line="228" w:lineRule="auto"/>
              <w:jc w:val="center"/>
              <w:rPr>
                <w:rFonts w:hint="eastAsia" w:asciiTheme="minorEastAsia" w:hAnsiTheme="minorEastAsia" w:eastAsiaTheme="minorEastAsia" w:cstheme="minorEastAsia"/>
                <w:b w:val="0"/>
                <w:bCs w:val="0"/>
                <w:snapToGrid w:val="0"/>
                <w:color w:val="auto"/>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auto"/>
                <w:spacing w:val="7"/>
                <w:kern w:val="0"/>
                <w:sz w:val="28"/>
                <w:szCs w:val="28"/>
                <w:lang w:val="en-US" w:eastAsia="zh-CN" w:bidi="ar-SA"/>
              </w:rPr>
              <w:t xml:space="preserve">游离甲醛（限氯丁橡胶、 </w:t>
            </w:r>
          </w:p>
          <w:p w14:paraId="241C1826">
            <w:pPr>
              <w:pStyle w:val="8"/>
              <w:widowControl w:val="0"/>
              <w:spacing w:before="65" w:line="228" w:lineRule="auto"/>
              <w:jc w:val="center"/>
              <w:rPr>
                <w:rFonts w:hint="eastAsia" w:asciiTheme="minorEastAsia" w:hAnsiTheme="minorEastAsia" w:eastAsiaTheme="minorEastAsia" w:cstheme="minorEastAsia"/>
                <w:b w:val="0"/>
                <w:bCs w:val="0"/>
                <w:snapToGrid w:val="0"/>
                <w:color w:val="auto"/>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auto"/>
                <w:spacing w:val="7"/>
                <w:kern w:val="0"/>
                <w:sz w:val="28"/>
                <w:szCs w:val="28"/>
                <w:lang w:val="en-US" w:eastAsia="zh-CN" w:bidi="ar-SA"/>
              </w:rPr>
              <w:t>SBS 类）</w:t>
            </w:r>
          </w:p>
        </w:tc>
        <w:tc>
          <w:tcPr>
            <w:tcW w:w="1854" w:type="dxa"/>
            <w:vMerge w:val="continue"/>
            <w:vAlign w:val="top"/>
          </w:tcPr>
          <w:p w14:paraId="61482A35">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p>
        </w:tc>
      </w:tr>
      <w:tr w14:paraId="12EFA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50" w:type="dxa"/>
            <w:vMerge w:val="restart"/>
            <w:vAlign w:val="center"/>
          </w:tcPr>
          <w:p w14:paraId="2D28B268">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水基型胶粘剂</w:t>
            </w:r>
          </w:p>
        </w:tc>
        <w:tc>
          <w:tcPr>
            <w:tcW w:w="3652" w:type="dxa"/>
            <w:shd w:val="clear" w:color="auto" w:fill="auto"/>
            <w:vAlign w:val="center"/>
          </w:tcPr>
          <w:p w14:paraId="3B5388BB">
            <w:pPr>
              <w:pStyle w:val="3"/>
              <w:widowControl w:val="0"/>
              <w:spacing w:before="65" w:line="228"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en-US" w:bidi="ar-SA"/>
              </w:rPr>
            </w:pPr>
            <w:r>
              <w:rPr>
                <w:rFonts w:hint="eastAsia" w:asciiTheme="minorEastAsia" w:hAnsiTheme="minorEastAsia" w:eastAsiaTheme="minorEastAsia" w:cstheme="minorEastAsia"/>
                <w:b w:val="0"/>
                <w:bCs w:val="0"/>
                <w:color w:val="auto"/>
                <w:spacing w:val="7"/>
                <w:sz w:val="28"/>
                <w:szCs w:val="28"/>
                <w:lang w:val="en-US" w:eastAsia="zh-CN"/>
              </w:rPr>
              <w:t> 总挥发性有机物（VOC）</w:t>
            </w:r>
          </w:p>
        </w:tc>
        <w:tc>
          <w:tcPr>
            <w:tcW w:w="1854" w:type="dxa"/>
            <w:vMerge w:val="continue"/>
            <w:vAlign w:val="top"/>
          </w:tcPr>
          <w:p w14:paraId="0631FD3F">
            <w:pPr>
              <w:pStyle w:val="8"/>
              <w:widowControl w:val="0"/>
              <w:spacing w:before="65" w:line="228" w:lineRule="auto"/>
              <w:jc w:val="both"/>
              <w:rPr>
                <w:rFonts w:hint="eastAsia" w:asciiTheme="minorEastAsia" w:hAnsiTheme="minorEastAsia" w:eastAsiaTheme="minorEastAsia" w:cstheme="minorEastAsia"/>
                <w:b w:val="0"/>
                <w:bCs w:val="0"/>
                <w:spacing w:val="7"/>
                <w:sz w:val="28"/>
                <w:szCs w:val="28"/>
                <w:lang w:val="en-US" w:eastAsia="zh-CN"/>
              </w:rPr>
            </w:pPr>
          </w:p>
        </w:tc>
      </w:tr>
      <w:tr w14:paraId="7368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50" w:type="dxa"/>
            <w:vMerge w:val="continue"/>
            <w:vAlign w:val="center"/>
          </w:tcPr>
          <w:p w14:paraId="2E67F72C">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p>
        </w:tc>
        <w:tc>
          <w:tcPr>
            <w:tcW w:w="3652" w:type="dxa"/>
            <w:shd w:val="clear" w:color="auto" w:fill="auto"/>
            <w:vAlign w:val="center"/>
          </w:tcPr>
          <w:p w14:paraId="74D8EC29">
            <w:pPr>
              <w:pStyle w:val="8"/>
              <w:widowControl w:val="0"/>
              <w:spacing w:before="65" w:line="228" w:lineRule="auto"/>
              <w:jc w:val="center"/>
              <w:rPr>
                <w:rFonts w:hint="eastAsia" w:asciiTheme="minorEastAsia" w:hAnsiTheme="minorEastAsia" w:eastAsiaTheme="minorEastAsia" w:cstheme="minorEastAsia"/>
                <w:b w:val="0"/>
                <w:bCs w:val="0"/>
                <w:snapToGrid w:val="0"/>
                <w:color w:val="auto"/>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auto"/>
                <w:spacing w:val="7"/>
                <w:kern w:val="0"/>
                <w:sz w:val="28"/>
                <w:szCs w:val="28"/>
                <w:lang w:val="en-US" w:eastAsia="zh-CN" w:bidi="ar-SA"/>
              </w:rPr>
              <w:t>苯</w:t>
            </w:r>
          </w:p>
        </w:tc>
        <w:tc>
          <w:tcPr>
            <w:tcW w:w="1854" w:type="dxa"/>
            <w:vMerge w:val="continue"/>
            <w:vAlign w:val="top"/>
          </w:tcPr>
          <w:p w14:paraId="0CD0BDD0">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p>
        </w:tc>
      </w:tr>
      <w:tr w14:paraId="324D8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50" w:type="dxa"/>
            <w:vMerge w:val="continue"/>
            <w:vAlign w:val="center"/>
          </w:tcPr>
          <w:p w14:paraId="4EAEAF76">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p>
        </w:tc>
        <w:tc>
          <w:tcPr>
            <w:tcW w:w="3652" w:type="dxa"/>
            <w:shd w:val="clear" w:color="auto" w:fill="auto"/>
            <w:vAlign w:val="center"/>
          </w:tcPr>
          <w:p w14:paraId="405D101A">
            <w:pPr>
              <w:pStyle w:val="8"/>
              <w:widowControl w:val="0"/>
              <w:spacing w:before="65" w:line="228" w:lineRule="auto"/>
              <w:jc w:val="center"/>
              <w:rPr>
                <w:rFonts w:hint="eastAsia" w:asciiTheme="minorEastAsia" w:hAnsiTheme="minorEastAsia" w:eastAsiaTheme="minorEastAsia" w:cstheme="minorEastAsia"/>
                <w:b w:val="0"/>
                <w:bCs w:val="0"/>
                <w:snapToGrid w:val="0"/>
                <w:color w:val="auto"/>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auto"/>
                <w:spacing w:val="7"/>
                <w:kern w:val="0"/>
                <w:sz w:val="28"/>
                <w:szCs w:val="28"/>
                <w:lang w:val="en-US" w:eastAsia="zh-CN" w:bidi="ar-SA"/>
              </w:rPr>
              <w:t> 甲苯+二甲苯</w:t>
            </w:r>
          </w:p>
        </w:tc>
        <w:tc>
          <w:tcPr>
            <w:tcW w:w="1854" w:type="dxa"/>
            <w:vMerge w:val="continue"/>
            <w:vAlign w:val="top"/>
          </w:tcPr>
          <w:p w14:paraId="62BA9EE5">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p>
        </w:tc>
      </w:tr>
      <w:tr w14:paraId="30416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50" w:type="dxa"/>
            <w:vMerge w:val="continue"/>
            <w:vAlign w:val="center"/>
          </w:tcPr>
          <w:p w14:paraId="69AA8470">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p>
        </w:tc>
        <w:tc>
          <w:tcPr>
            <w:tcW w:w="3652" w:type="dxa"/>
            <w:shd w:val="clear" w:color="auto" w:fill="auto"/>
            <w:vAlign w:val="center"/>
          </w:tcPr>
          <w:p w14:paraId="177A531A">
            <w:pPr>
              <w:pStyle w:val="8"/>
              <w:widowControl w:val="0"/>
              <w:spacing w:before="65" w:line="228" w:lineRule="auto"/>
              <w:jc w:val="center"/>
              <w:rPr>
                <w:rFonts w:hint="eastAsia" w:asciiTheme="minorEastAsia" w:hAnsiTheme="minorEastAsia" w:eastAsiaTheme="minorEastAsia" w:cstheme="minorEastAsia"/>
                <w:b w:val="0"/>
                <w:bCs w:val="0"/>
                <w:snapToGrid w:val="0"/>
                <w:color w:val="auto"/>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auto"/>
                <w:spacing w:val="7"/>
                <w:kern w:val="0"/>
                <w:sz w:val="28"/>
                <w:szCs w:val="28"/>
                <w:lang w:val="en-US" w:eastAsia="zh-CN" w:bidi="ar-SA"/>
              </w:rPr>
              <w:t>游离甲醛</w:t>
            </w:r>
          </w:p>
        </w:tc>
        <w:tc>
          <w:tcPr>
            <w:tcW w:w="1854" w:type="dxa"/>
            <w:vMerge w:val="continue"/>
            <w:vAlign w:val="top"/>
          </w:tcPr>
          <w:p w14:paraId="3734AD3D">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p>
        </w:tc>
      </w:tr>
      <w:tr w14:paraId="6AF33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50" w:type="dxa"/>
            <w:vAlign w:val="center"/>
          </w:tcPr>
          <w:p w14:paraId="66E12CC5">
            <w:pPr>
              <w:keepNext w:val="0"/>
              <w:keepLines w:val="0"/>
              <w:widowControl/>
              <w:suppressLineNumbers w:val="0"/>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snapToGrid w:val="0"/>
                <w:color w:val="000000"/>
                <w:kern w:val="0"/>
                <w:sz w:val="28"/>
                <w:szCs w:val="28"/>
                <w:lang w:val="en-US" w:eastAsia="zh-CN" w:bidi="ar"/>
              </w:rPr>
              <w:t>本体型胶粘剂</w:t>
            </w:r>
          </w:p>
        </w:tc>
        <w:tc>
          <w:tcPr>
            <w:tcW w:w="3652" w:type="dxa"/>
            <w:shd w:val="clear" w:color="auto" w:fill="auto"/>
            <w:vAlign w:val="center"/>
          </w:tcPr>
          <w:p w14:paraId="495678CC">
            <w:pPr>
              <w:keepNext w:val="0"/>
              <w:keepLines w:val="0"/>
              <w:widowControl/>
              <w:suppressLineNumbers w:val="0"/>
              <w:jc w:val="center"/>
              <w:rPr>
                <w:rFonts w:hint="eastAsia" w:asciiTheme="minorEastAsia" w:hAnsiTheme="minorEastAsia" w:eastAsiaTheme="minorEastAsia" w:cstheme="minorEastAsia"/>
                <w:b w:val="0"/>
                <w:bCs w:val="0"/>
                <w:snapToGrid w:val="0"/>
                <w:color w:val="auto"/>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000000"/>
                <w:kern w:val="0"/>
                <w:sz w:val="28"/>
                <w:szCs w:val="28"/>
                <w:lang w:val="en-US" w:eastAsia="zh-CN" w:bidi="ar"/>
              </w:rPr>
              <w:t>总挥发性有机物(VOC)</w:t>
            </w:r>
          </w:p>
        </w:tc>
        <w:tc>
          <w:tcPr>
            <w:tcW w:w="1854" w:type="dxa"/>
            <w:vMerge w:val="continue"/>
            <w:vAlign w:val="top"/>
          </w:tcPr>
          <w:p w14:paraId="5200103A">
            <w:pPr>
              <w:keepNext w:val="0"/>
              <w:keepLines w:val="0"/>
              <w:widowControl/>
              <w:suppressLineNumbers w:val="0"/>
              <w:jc w:val="left"/>
              <w:rPr>
                <w:rFonts w:hint="eastAsia" w:asciiTheme="minorEastAsia" w:hAnsiTheme="minorEastAsia" w:eastAsiaTheme="minorEastAsia" w:cstheme="minorEastAsia"/>
                <w:b w:val="0"/>
                <w:bCs w:val="0"/>
                <w:spacing w:val="7"/>
                <w:sz w:val="28"/>
                <w:szCs w:val="28"/>
                <w:lang w:val="en-US" w:eastAsia="zh-CN"/>
              </w:rPr>
            </w:pPr>
          </w:p>
        </w:tc>
      </w:tr>
    </w:tbl>
    <w:p w14:paraId="1C8540A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p>
    <w:p w14:paraId="089B079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注：执行企业标准、团体标准、地方标准的产品，检验项目参照上述内容执行。</w:t>
      </w:r>
      <w:bookmarkStart w:id="0" w:name="_GoBack"/>
      <w:bookmarkEnd w:id="0"/>
    </w:p>
    <w:p w14:paraId="009045F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凡是注日期的文件，其随后所有的修改单（不包括勘误的内容）或修订版不适用于本细则。凡是不注日期的文件，其最新版本适用于本细则。</w:t>
      </w:r>
    </w:p>
    <w:p w14:paraId="67D2929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3 判定规则</w:t>
      </w:r>
    </w:p>
    <w:p w14:paraId="3305154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3.1 标准依据</w:t>
      </w:r>
    </w:p>
    <w:p w14:paraId="54CABE7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lang w:val="en-US" w:eastAsia="zh-CN"/>
        </w:rPr>
      </w:pPr>
      <w:r>
        <w:rPr>
          <w:rFonts w:hint="eastAsia" w:asciiTheme="minorEastAsia" w:hAnsiTheme="minorEastAsia" w:eastAsiaTheme="minorEastAsia" w:cstheme="minorEastAsia"/>
          <w:b w:val="0"/>
          <w:bCs w:val="0"/>
          <w:spacing w:val="3"/>
          <w:sz w:val="28"/>
          <w:szCs w:val="28"/>
          <w:lang w:val="en-US" w:eastAsia="zh-CN"/>
        </w:rPr>
        <w:t>GB 18583 室内装饰装修材料-胶黏剂中有害物质限量</w:t>
      </w:r>
    </w:p>
    <w:p w14:paraId="6B5CAFF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现行有效的企业标准、团体标准、地方标准及产品明示质量要求</w:t>
      </w:r>
    </w:p>
    <w:p w14:paraId="5BC2F75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3.2 判定原则</w:t>
      </w:r>
    </w:p>
    <w:p w14:paraId="19F9EA1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经检验，检验项目全部合格，判定为被抽查产品所检项目未发现不合格；检验项目中任一项或一项以上不合格，判定为被抽查产品不合格。</w:t>
      </w:r>
    </w:p>
    <w:p w14:paraId="7BB2263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若被检产品明示的质量要求高于本细则中检验项目依据的标准要求时，应按被检产品明示的质量要求判定。</w:t>
      </w:r>
    </w:p>
    <w:p w14:paraId="23AC9A6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若被检产品明示的质量要求低于本细则中检验项目依据的强制性标准要求时，应按照强制性标准要求判定。</w:t>
      </w:r>
    </w:p>
    <w:p w14:paraId="6F4C5AA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若被检产品明示的质量要求低于或包含细则中检验项目依据的推荐性标准要求时，应以被检产品明示的质量要求判定，但应在检验报告备注中进行说明。</w:t>
      </w:r>
    </w:p>
    <w:p w14:paraId="453AE41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若被检产品明示的质量要求缺少本细则中检验项目依据的强制性标准要求时，应按照强制性标准要求判定。</w:t>
      </w:r>
    </w:p>
    <w:p w14:paraId="53F3806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若被检产品明示的质量要求缺少本细则中检验项目依据的推荐性标准要求时，该项目不参与判定，但应在检验报告备注中进行说明。</w:t>
      </w:r>
    </w:p>
    <w:p w14:paraId="37CA663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4 异议复检</w:t>
      </w:r>
    </w:p>
    <w:p w14:paraId="7379EFE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本细则中确定的全部检验项目，采用备用样品进行复检。</w:t>
      </w:r>
    </w:p>
    <w:p w14:paraId="49B5524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Theme="minorEastAsia" w:hAnsiTheme="minorEastAsia" w:eastAsiaTheme="minorEastAsia" w:cstheme="minorEastAsia"/>
          <w:b w:val="0"/>
          <w:bCs w:val="0"/>
          <w:spacing w:val="3"/>
          <w:sz w:val="28"/>
          <w:szCs w:val="28"/>
        </w:rPr>
      </w:pPr>
    </w:p>
    <w:sectPr>
      <w:pgSz w:w="11906" w:h="16839"/>
      <w:pgMar w:top="1440" w:right="1083" w:bottom="1440" w:left="1083"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NjOWJjZWRlNDJjM2M1M2M2MDEzY2Y5NzZiODM0N2MifQ=="/>
  </w:docVars>
  <w:rsids>
    <w:rsidRoot w:val="00000000"/>
    <w:rsid w:val="006B6D1F"/>
    <w:rsid w:val="02F73FB5"/>
    <w:rsid w:val="06071298"/>
    <w:rsid w:val="061048B7"/>
    <w:rsid w:val="08233893"/>
    <w:rsid w:val="08422A5C"/>
    <w:rsid w:val="086724C2"/>
    <w:rsid w:val="08964B56"/>
    <w:rsid w:val="08E27D9B"/>
    <w:rsid w:val="094921B7"/>
    <w:rsid w:val="09B96D4E"/>
    <w:rsid w:val="0A031A4B"/>
    <w:rsid w:val="0B64718D"/>
    <w:rsid w:val="0BE21434"/>
    <w:rsid w:val="0DF77E44"/>
    <w:rsid w:val="0FE160A7"/>
    <w:rsid w:val="10D22332"/>
    <w:rsid w:val="115B693C"/>
    <w:rsid w:val="12096398"/>
    <w:rsid w:val="13416360"/>
    <w:rsid w:val="134A6C68"/>
    <w:rsid w:val="14627FE2"/>
    <w:rsid w:val="147E7724"/>
    <w:rsid w:val="161672D6"/>
    <w:rsid w:val="191E097B"/>
    <w:rsid w:val="1C7D3C0B"/>
    <w:rsid w:val="1DE95937"/>
    <w:rsid w:val="1E2F342B"/>
    <w:rsid w:val="1F0335AF"/>
    <w:rsid w:val="1F38206B"/>
    <w:rsid w:val="1F850DFE"/>
    <w:rsid w:val="206E4688"/>
    <w:rsid w:val="20B47E17"/>
    <w:rsid w:val="20F66E85"/>
    <w:rsid w:val="219C4B33"/>
    <w:rsid w:val="235B7D44"/>
    <w:rsid w:val="23B819CC"/>
    <w:rsid w:val="246D27B7"/>
    <w:rsid w:val="247B3126"/>
    <w:rsid w:val="26DF7A5E"/>
    <w:rsid w:val="274B6F9C"/>
    <w:rsid w:val="27637EA1"/>
    <w:rsid w:val="278C73F8"/>
    <w:rsid w:val="281A2C55"/>
    <w:rsid w:val="28EF7C3E"/>
    <w:rsid w:val="2A84085A"/>
    <w:rsid w:val="2ABF7AE4"/>
    <w:rsid w:val="2B681F2A"/>
    <w:rsid w:val="2C4C14E6"/>
    <w:rsid w:val="2DF301D1"/>
    <w:rsid w:val="2E5D389C"/>
    <w:rsid w:val="2ED27DE6"/>
    <w:rsid w:val="2F041F69"/>
    <w:rsid w:val="2FEA115F"/>
    <w:rsid w:val="30CD2F5B"/>
    <w:rsid w:val="32DF0D23"/>
    <w:rsid w:val="359758E5"/>
    <w:rsid w:val="35FE5964"/>
    <w:rsid w:val="36176A26"/>
    <w:rsid w:val="36F34D9D"/>
    <w:rsid w:val="377759CE"/>
    <w:rsid w:val="37DC3A83"/>
    <w:rsid w:val="380F2C1E"/>
    <w:rsid w:val="3D3B30E0"/>
    <w:rsid w:val="3DB334D8"/>
    <w:rsid w:val="3E587BDC"/>
    <w:rsid w:val="419E7FFC"/>
    <w:rsid w:val="423F17DF"/>
    <w:rsid w:val="42497F67"/>
    <w:rsid w:val="42883B10"/>
    <w:rsid w:val="4320516C"/>
    <w:rsid w:val="43650DD1"/>
    <w:rsid w:val="44F00B6E"/>
    <w:rsid w:val="45392515"/>
    <w:rsid w:val="485F0C1A"/>
    <w:rsid w:val="48961A2D"/>
    <w:rsid w:val="4B73486A"/>
    <w:rsid w:val="4BE40D01"/>
    <w:rsid w:val="4D8207D1"/>
    <w:rsid w:val="4E257ADB"/>
    <w:rsid w:val="4FB54E8E"/>
    <w:rsid w:val="51B353FD"/>
    <w:rsid w:val="521F2A93"/>
    <w:rsid w:val="522634B6"/>
    <w:rsid w:val="528943B0"/>
    <w:rsid w:val="52CF44B9"/>
    <w:rsid w:val="53C0288A"/>
    <w:rsid w:val="55620D75"/>
    <w:rsid w:val="582F7751"/>
    <w:rsid w:val="58BC103B"/>
    <w:rsid w:val="598F49A2"/>
    <w:rsid w:val="5C693288"/>
    <w:rsid w:val="5C6F4617"/>
    <w:rsid w:val="5DCF19CA"/>
    <w:rsid w:val="5DE60909"/>
    <w:rsid w:val="5DFC012C"/>
    <w:rsid w:val="5FD166C8"/>
    <w:rsid w:val="620A1069"/>
    <w:rsid w:val="620E7A41"/>
    <w:rsid w:val="63084D13"/>
    <w:rsid w:val="63451804"/>
    <w:rsid w:val="644B6F26"/>
    <w:rsid w:val="647A5C59"/>
    <w:rsid w:val="64F8164D"/>
    <w:rsid w:val="65ED6CD8"/>
    <w:rsid w:val="67140294"/>
    <w:rsid w:val="672E7061"/>
    <w:rsid w:val="673D77EB"/>
    <w:rsid w:val="698F62F8"/>
    <w:rsid w:val="6C9454D2"/>
    <w:rsid w:val="6DE07122"/>
    <w:rsid w:val="6F273D5F"/>
    <w:rsid w:val="7060279C"/>
    <w:rsid w:val="71D76A8E"/>
    <w:rsid w:val="720553A9"/>
    <w:rsid w:val="728848F2"/>
    <w:rsid w:val="73306456"/>
    <w:rsid w:val="74244DD1"/>
    <w:rsid w:val="75CD4430"/>
    <w:rsid w:val="7B6A2721"/>
    <w:rsid w:val="7C921F30"/>
    <w:rsid w:val="7E94083D"/>
    <w:rsid w:val="7F2A24A2"/>
    <w:rsid w:val="7F8C0E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列出段落12"/>
    <w:basedOn w:val="1"/>
    <w:qFormat/>
    <w:uiPriority w:val="0"/>
    <w:pPr>
      <w:ind w:firstLine="420" w:firstLineChars="200"/>
    </w:pPr>
    <w:rPr>
      <w:rFonts w:ascii="Calibri" w:hAnsi="Calibri"/>
      <w:szCs w:val="22"/>
    </w:rPr>
  </w:style>
  <w:style w:type="paragraph" w:styleId="3">
    <w:name w:val="Body Text"/>
    <w:basedOn w:val="1"/>
    <w:semiHidden/>
    <w:qFormat/>
    <w:uiPriority w:val="0"/>
    <w:rPr>
      <w:rFonts w:ascii="宋体" w:hAnsi="宋体" w:eastAsia="宋体" w:cs="宋体"/>
      <w:sz w:val="20"/>
      <w:szCs w:val="20"/>
      <w:lang w:val="en-US" w:eastAsia="en-US" w:bidi="ar-SA"/>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823</Words>
  <Characters>868</Characters>
  <TotalTime>15</TotalTime>
  <ScaleCrop>false</ScaleCrop>
  <LinksUpToDate>false</LinksUpToDate>
  <CharactersWithSpaces>893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2024-06-14T10:09:00Z</dcterms:created>
  <dc:creator>Administrator</dc:creator>
  <cp:lastModifiedBy>创信检测</cp:lastModifiedBy>
  <dcterms:modified xsi:type="dcterms:W3CDTF">2026-03-14T02:44:27Z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2024-06-14T10:09:47Z</vt:filetime>
  </property>
  <property fmtid="{D5CDD505-2E9C-101B-9397-08002B2CF9AE}" pid="4" name="UsrData">
    <vt:lpwstr>666ba66affdba4001f45abaewl</vt:lpwstr>
  </property>
  <property fmtid="{D5CDD505-2E9C-101B-9397-08002B2CF9AE}" pid="5" name="KSOProductBuildVer">
    <vt:lpwstr>2052-12.1.0.25225</vt:lpwstr>
  </property>
  <property fmtid="{D5CDD505-2E9C-101B-9397-08002B2CF9AE}" pid="6" name="ICV">
    <vt:lpwstr>0A8745EEAF1C4556AFEBD75A68C20ADA_12</vt:lpwstr>
  </property>
  <property fmtid="{D5CDD505-2E9C-101B-9397-08002B2CF9AE}" pid="7" name="KSOTemplateDocerSaveRecord">
    <vt:lpwstr>eyJoZGlkIjoiOTdiNzZkOTk1ODVkM2NjNmU3NDdhZjI1NDFkMDc1ZDQiLCJ1c2VySWQiOiI5OTAwOTk0MDkifQ==</vt:lpwstr>
  </property>
</Properties>
</file>