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56" w:line="220" w:lineRule="auto"/>
        <w:jc w:val="center"/>
        <w:outlineLvl w:val="0"/>
        <w:rPr>
          <w:sz w:val="28"/>
          <w:szCs w:val="28"/>
          <w:lang w:eastAsia="zh-CN"/>
        </w:rPr>
      </w:pPr>
      <w:r>
        <w:rPr>
          <w:rFonts w:hint="eastAsia"/>
          <w:b/>
          <w:bCs/>
          <w:spacing w:val="-4"/>
          <w:sz w:val="28"/>
          <w:szCs w:val="28"/>
          <w:lang w:eastAsia="zh-CN"/>
        </w:rPr>
        <w:t>枣庄市</w:t>
      </w:r>
      <w:r>
        <w:rPr>
          <w:b/>
          <w:bCs/>
          <w:spacing w:val="-4"/>
          <w:sz w:val="28"/>
          <w:szCs w:val="28"/>
          <w:lang w:eastAsia="zh-CN"/>
        </w:rPr>
        <w:t>铅酸蓄电池产品质量监督抽查实施细则</w:t>
      </w:r>
    </w:p>
    <w:p>
      <w:pPr>
        <w:pStyle w:val="3"/>
        <w:spacing w:before="160" w:line="220" w:lineRule="auto"/>
        <w:jc w:val="center"/>
        <w:outlineLvl w:val="0"/>
        <w:rPr>
          <w:sz w:val="28"/>
          <w:szCs w:val="28"/>
          <w:lang w:eastAsia="zh-CN"/>
        </w:rPr>
      </w:pPr>
      <w:r>
        <w:rPr>
          <w:b/>
          <w:bCs/>
          <w:spacing w:val="-6"/>
          <w:sz w:val="28"/>
          <w:szCs w:val="28"/>
          <w:lang w:eastAsia="zh-CN"/>
        </w:rPr>
        <w:t>（202</w:t>
      </w:r>
      <w:r>
        <w:rPr>
          <w:rFonts w:hint="eastAsia"/>
          <w:b/>
          <w:bCs/>
          <w:spacing w:val="-6"/>
          <w:sz w:val="28"/>
          <w:szCs w:val="28"/>
          <w:lang w:val="en-US" w:eastAsia="zh-CN"/>
        </w:rPr>
        <w:t>6</w:t>
      </w:r>
      <w:r>
        <w:rPr>
          <w:b/>
          <w:bCs/>
          <w:spacing w:val="-6"/>
          <w:sz w:val="28"/>
          <w:szCs w:val="28"/>
          <w:lang w:eastAsia="zh-CN"/>
        </w:rPr>
        <w:t>年</w:t>
      </w:r>
      <w:r>
        <w:rPr>
          <w:rFonts w:hint="eastAsia"/>
          <w:b/>
          <w:bCs/>
          <w:spacing w:val="-6"/>
          <w:sz w:val="28"/>
          <w:szCs w:val="28"/>
          <w:lang w:eastAsia="zh-CN"/>
        </w:rPr>
        <w:t>版</w:t>
      </w:r>
      <w:r>
        <w:rPr>
          <w:b/>
          <w:bCs/>
          <w:spacing w:val="-6"/>
          <w:sz w:val="28"/>
          <w:szCs w:val="28"/>
          <w:lang w:eastAsia="zh-CN"/>
        </w:rPr>
        <w:t>）</w:t>
      </w:r>
    </w:p>
    <w:p>
      <w:pPr>
        <w:pStyle w:val="3"/>
        <w:widowControl w:val="0"/>
        <w:kinsoku/>
        <w:autoSpaceDE/>
        <w:autoSpaceDN/>
        <w:adjustRightInd/>
        <w:snapToGrid/>
        <w:spacing w:line="400" w:lineRule="exact"/>
        <w:ind w:left="17"/>
        <w:jc w:val="both"/>
        <w:textAlignment w:val="auto"/>
        <w:outlineLvl w:val="1"/>
        <w:rPr>
          <w:b/>
          <w:bCs/>
          <w:snapToGrid/>
          <w:spacing w:val="-5"/>
          <w:kern w:val="2"/>
          <w:sz w:val="21"/>
          <w:szCs w:val="21"/>
          <w:lang w:eastAsia="zh-CN"/>
        </w:rPr>
      </w:pPr>
      <w:r>
        <w:rPr>
          <w:b/>
          <w:bCs/>
          <w:snapToGrid/>
          <w:spacing w:val="-5"/>
          <w:kern w:val="2"/>
          <w:sz w:val="21"/>
          <w:szCs w:val="21"/>
          <w:lang w:eastAsia="zh-CN"/>
        </w:rPr>
        <w:t>1 抽样</w:t>
      </w:r>
      <w:bookmarkStart w:id="1" w:name="_GoBack"/>
      <w:bookmarkEnd w:id="1"/>
    </w:p>
    <w:p>
      <w:pPr>
        <w:pStyle w:val="3"/>
        <w:spacing w:before="161" w:line="228" w:lineRule="auto"/>
        <w:rPr>
          <w:sz w:val="21"/>
          <w:szCs w:val="21"/>
          <w:lang w:eastAsia="zh-CN"/>
        </w:rPr>
      </w:pPr>
      <w:r>
        <w:rPr>
          <w:spacing w:val="3"/>
          <w:sz w:val="21"/>
          <w:szCs w:val="21"/>
          <w:lang w:eastAsia="zh-CN"/>
        </w:rPr>
        <w:t>1.1抽样方法</w:t>
      </w:r>
    </w:p>
    <w:p>
      <w:pPr>
        <w:pStyle w:val="3"/>
        <w:spacing w:before="161" w:line="227" w:lineRule="auto"/>
        <w:ind w:firstLine="452" w:firstLineChars="200"/>
        <w:rPr>
          <w:sz w:val="21"/>
          <w:szCs w:val="21"/>
          <w:lang w:eastAsia="zh-CN"/>
        </w:rPr>
      </w:pPr>
      <w:r>
        <w:rPr>
          <w:spacing w:val="8"/>
          <w:sz w:val="21"/>
          <w:szCs w:val="21"/>
          <w:lang w:eastAsia="zh-CN"/>
        </w:rPr>
        <w:t>以随机抽样的方式在被抽样生产者、销售者的待销产品中抽取。</w:t>
      </w:r>
    </w:p>
    <w:p>
      <w:pPr>
        <w:pStyle w:val="3"/>
        <w:spacing w:before="164" w:line="228" w:lineRule="auto"/>
        <w:rPr>
          <w:sz w:val="21"/>
          <w:szCs w:val="21"/>
          <w:lang w:eastAsia="zh-CN"/>
        </w:rPr>
      </w:pPr>
      <w:r>
        <w:rPr>
          <w:spacing w:val="3"/>
          <w:sz w:val="21"/>
          <w:szCs w:val="21"/>
          <w:lang w:eastAsia="zh-CN"/>
        </w:rPr>
        <w:t>1.2抽样基数</w:t>
      </w:r>
    </w:p>
    <w:p>
      <w:pPr>
        <w:pStyle w:val="3"/>
        <w:spacing w:before="160" w:line="228" w:lineRule="auto"/>
        <w:ind w:firstLine="452" w:firstLineChars="200"/>
        <w:rPr>
          <w:sz w:val="21"/>
          <w:szCs w:val="21"/>
          <w:lang w:eastAsia="zh-CN"/>
        </w:rPr>
      </w:pPr>
      <w:r>
        <w:rPr>
          <w:spacing w:val="8"/>
          <w:sz w:val="21"/>
          <w:szCs w:val="21"/>
          <w:lang w:eastAsia="zh-CN"/>
        </w:rPr>
        <w:t>抽查样品基数满足抽样数量即可。</w:t>
      </w:r>
    </w:p>
    <w:p>
      <w:pPr>
        <w:pStyle w:val="2"/>
        <w:widowControl w:val="0"/>
        <w:kinsoku/>
        <w:autoSpaceDE/>
        <w:autoSpaceDN/>
        <w:adjustRightInd/>
        <w:snapToGrid/>
        <w:spacing w:line="400" w:lineRule="exact"/>
        <w:textAlignment w:val="auto"/>
        <w:rPr>
          <w:rFonts w:ascii="宋体" w:hAnsi="宋体" w:eastAsia="宋体" w:cs="Times New Roman"/>
          <w:snapToGrid/>
          <w:kern w:val="2"/>
          <w:lang w:eastAsia="zh-CN"/>
        </w:rPr>
      </w:pPr>
      <w:bookmarkStart w:id="0" w:name="OLE_LINK5"/>
      <w:r>
        <w:rPr>
          <w:rFonts w:ascii="宋体" w:hAnsi="宋体" w:eastAsia="宋体" w:cs="Times New Roman"/>
          <w:snapToGrid/>
          <w:kern w:val="2"/>
          <w:lang w:eastAsia="zh-CN"/>
        </w:rPr>
        <w:t>1.3 抽样范围</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ascii="宋体" w:hAnsi="宋体" w:eastAsia="宋体" w:cs="Times New Roman"/>
          <w:snapToGrid/>
          <w:kern w:val="2"/>
          <w:lang w:eastAsia="zh-CN"/>
        </w:rPr>
        <w:t xml:space="preserve">抽取同一规格型号、同一批次的产品。 </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ascii="宋体" w:hAnsi="宋体" w:eastAsia="宋体" w:cs="Times New Roman"/>
          <w:snapToGrid/>
          <w:kern w:val="2"/>
          <w:lang w:eastAsia="zh-CN"/>
        </w:rPr>
        <w:t>在生产企业或市场上随机抽取经企业以任何方式表明合格的产品。</w:t>
      </w:r>
    </w:p>
    <w:p>
      <w:pPr>
        <w:pStyle w:val="2"/>
        <w:widowControl w:val="0"/>
        <w:kinsoku/>
        <w:autoSpaceDE/>
        <w:autoSpaceDN/>
        <w:adjustRightInd/>
        <w:snapToGrid/>
        <w:spacing w:line="400" w:lineRule="exact"/>
        <w:textAlignment w:val="auto"/>
        <w:rPr>
          <w:rFonts w:hint="eastAsia" w:ascii="宋体" w:hAnsi="宋体" w:eastAsia="宋体" w:cs="Times New Roman"/>
          <w:snapToGrid/>
          <w:kern w:val="2"/>
          <w:lang w:eastAsia="zh-CN"/>
        </w:rPr>
      </w:pPr>
      <w:r>
        <w:rPr>
          <w:rFonts w:ascii="宋体" w:hAnsi="宋体" w:eastAsia="宋体" w:cs="Times New Roman"/>
          <w:snapToGrid/>
          <w:kern w:val="2"/>
          <w:lang w:eastAsia="zh-CN"/>
        </w:rPr>
        <w:t>1.</w:t>
      </w:r>
      <w:r>
        <w:rPr>
          <w:rFonts w:hint="eastAsia" w:ascii="宋体" w:hAnsi="宋体" w:eastAsia="宋体" w:cs="Times New Roman"/>
          <w:snapToGrid/>
          <w:kern w:val="2"/>
          <w:lang w:eastAsia="zh-CN"/>
        </w:rPr>
        <w:t>4</w:t>
      </w:r>
      <w:r>
        <w:rPr>
          <w:rFonts w:ascii="宋体" w:hAnsi="宋体" w:eastAsia="宋体" w:cs="Times New Roman"/>
          <w:snapToGrid/>
          <w:kern w:val="2"/>
          <w:lang w:eastAsia="zh-CN"/>
        </w:rPr>
        <w:t xml:space="preserve"> 抽样数量</w:t>
      </w:r>
      <w:bookmarkEnd w:id="0"/>
    </w:p>
    <w:p>
      <w:pPr>
        <w:pStyle w:val="3"/>
        <w:widowControl w:val="0"/>
        <w:kinsoku/>
        <w:autoSpaceDE/>
        <w:autoSpaceDN/>
        <w:adjustRightInd/>
        <w:snapToGrid/>
        <w:spacing w:before="123" w:line="228" w:lineRule="auto"/>
        <w:ind w:firstLine="400" w:firstLineChars="200"/>
        <w:textAlignment w:val="auto"/>
        <w:outlineLvl w:val="0"/>
        <w:rPr>
          <w:lang w:eastAsia="zh-CN"/>
        </w:rPr>
      </w:pPr>
      <w:r>
        <w:rPr>
          <w:lang w:eastAsia="zh-CN"/>
        </w:rPr>
        <w:t xml:space="preserve">每种产品抽取样品 </w:t>
      </w:r>
      <w:r>
        <w:rPr>
          <w:rFonts w:hint="eastAsia"/>
          <w:lang w:eastAsia="zh-CN"/>
        </w:rPr>
        <w:t>4</w:t>
      </w:r>
      <w:r>
        <w:rPr>
          <w:lang w:eastAsia="zh-CN"/>
        </w:rPr>
        <w:t xml:space="preserve"> 只，其中</w:t>
      </w:r>
      <w:r>
        <w:rPr>
          <w:rFonts w:hint="eastAsia"/>
          <w:lang w:eastAsia="zh-CN"/>
        </w:rPr>
        <w:t>2</w:t>
      </w:r>
      <w:r>
        <w:rPr>
          <w:lang w:eastAsia="zh-CN"/>
        </w:rPr>
        <w:t>只作为检验样品，</w:t>
      </w:r>
      <w:r>
        <w:rPr>
          <w:rFonts w:hint="eastAsia"/>
          <w:lang w:eastAsia="zh-CN"/>
        </w:rPr>
        <w:t>2</w:t>
      </w:r>
      <w:r>
        <w:rPr>
          <w:lang w:eastAsia="zh-CN"/>
        </w:rPr>
        <w:t xml:space="preserve"> 只作为备用样。</w:t>
      </w:r>
    </w:p>
    <w:p>
      <w:pPr>
        <w:pStyle w:val="3"/>
        <w:widowControl w:val="0"/>
        <w:kinsoku/>
        <w:autoSpaceDE/>
        <w:autoSpaceDN/>
        <w:adjustRightInd/>
        <w:snapToGrid/>
        <w:spacing w:line="400" w:lineRule="exact"/>
        <w:jc w:val="both"/>
        <w:textAlignment w:val="auto"/>
        <w:outlineLvl w:val="1"/>
        <w:rPr>
          <w:b/>
          <w:bCs/>
          <w:snapToGrid/>
          <w:spacing w:val="-5"/>
          <w:kern w:val="2"/>
          <w:sz w:val="21"/>
          <w:szCs w:val="21"/>
          <w:lang w:eastAsia="zh-CN"/>
        </w:rPr>
      </w:pPr>
      <w:r>
        <w:rPr>
          <w:b/>
          <w:bCs/>
          <w:snapToGrid/>
          <w:spacing w:val="-5"/>
          <w:kern w:val="2"/>
          <w:sz w:val="21"/>
          <w:szCs w:val="21"/>
          <w:lang w:eastAsia="zh-CN"/>
        </w:rPr>
        <w:t>2 检验项目及检验方法</w:t>
      </w:r>
    </w:p>
    <w:p>
      <w:pPr>
        <w:pStyle w:val="3"/>
        <w:widowControl w:val="0"/>
        <w:kinsoku/>
        <w:autoSpaceDE/>
        <w:autoSpaceDN/>
        <w:adjustRightInd/>
        <w:snapToGrid/>
        <w:spacing w:before="123" w:line="228" w:lineRule="auto"/>
        <w:jc w:val="center"/>
        <w:textAlignment w:val="auto"/>
        <w:outlineLvl w:val="0"/>
        <w:rPr>
          <w:b/>
          <w:bCs/>
          <w:snapToGrid/>
          <w:spacing w:val="9"/>
          <w:kern w:val="2"/>
          <w:lang w:eastAsia="zh-CN"/>
        </w:rPr>
      </w:pPr>
      <w:r>
        <w:rPr>
          <w:b/>
          <w:bCs/>
          <w:snapToGrid/>
          <w:spacing w:val="9"/>
          <w:kern w:val="2"/>
          <w:lang w:eastAsia="zh-CN"/>
        </w:rPr>
        <w:t>表1 铅酸蓄电池检验项目及检测方法</w:t>
      </w:r>
    </w:p>
    <w:p>
      <w:pPr>
        <w:spacing w:line="20" w:lineRule="exact"/>
        <w:rPr>
          <w:lang w:eastAsia="zh-CN"/>
        </w:rPr>
      </w:pPr>
    </w:p>
    <w:tbl>
      <w:tblPr>
        <w:tblStyle w:val="8"/>
        <w:tblW w:w="9168"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6"/>
        <w:gridCol w:w="4076"/>
        <w:gridCol w:w="38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4" w:hRule="atLeast"/>
        </w:trPr>
        <w:tc>
          <w:tcPr>
            <w:tcW w:w="1236" w:type="dxa"/>
          </w:tcPr>
          <w:p>
            <w:pPr>
              <w:pStyle w:val="9"/>
              <w:spacing w:before="52" w:line="229" w:lineRule="auto"/>
              <w:ind w:left="411"/>
            </w:pPr>
            <w:r>
              <w:rPr>
                <w:spacing w:val="5"/>
              </w:rPr>
              <w:t>序号</w:t>
            </w:r>
          </w:p>
        </w:tc>
        <w:tc>
          <w:tcPr>
            <w:tcW w:w="4076" w:type="dxa"/>
          </w:tcPr>
          <w:p>
            <w:pPr>
              <w:pStyle w:val="9"/>
              <w:spacing w:before="51" w:line="228" w:lineRule="auto"/>
              <w:ind w:left="1624"/>
            </w:pPr>
            <w:r>
              <w:rPr>
                <w:spacing w:val="7"/>
              </w:rPr>
              <w:t>检验项目</w:t>
            </w:r>
          </w:p>
        </w:tc>
        <w:tc>
          <w:tcPr>
            <w:tcW w:w="3856" w:type="dxa"/>
            <w:vAlign w:val="center"/>
          </w:tcPr>
          <w:p>
            <w:pPr>
              <w:pStyle w:val="9"/>
              <w:spacing w:before="51" w:line="228" w:lineRule="auto"/>
              <w:jc w:val="center"/>
            </w:pPr>
            <w:r>
              <w:rPr>
                <w:spacing w:val="7"/>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3" w:hRule="atLeast"/>
        </w:trPr>
        <w:tc>
          <w:tcPr>
            <w:tcW w:w="1236" w:type="dxa"/>
          </w:tcPr>
          <w:p>
            <w:pPr>
              <w:pStyle w:val="9"/>
              <w:spacing w:before="81" w:line="270" w:lineRule="exact"/>
              <w:ind w:left="586"/>
            </w:pPr>
            <w:r>
              <w:rPr>
                <w:position w:val="1"/>
              </w:rPr>
              <w:t>1</w:t>
            </w:r>
          </w:p>
        </w:tc>
        <w:tc>
          <w:tcPr>
            <w:tcW w:w="4076" w:type="dxa"/>
            <w:vAlign w:val="center"/>
          </w:tcPr>
          <w:p>
            <w:pPr>
              <w:jc w:val="center"/>
              <w:rPr>
                <w:rFonts w:ascii="宋体" w:hAnsi="宋体" w:eastAsia="宋体" w:cs="宋体"/>
                <w:spacing w:val="7"/>
                <w:sz w:val="20"/>
                <w:szCs w:val="20"/>
                <w:lang w:eastAsia="zh-CN"/>
              </w:rPr>
            </w:pPr>
            <w:r>
              <w:rPr>
                <w:rFonts w:hint="eastAsia" w:ascii="宋体" w:hAnsi="宋体" w:eastAsia="宋体" w:cs="宋体"/>
                <w:spacing w:val="7"/>
                <w:sz w:val="20"/>
                <w:szCs w:val="20"/>
                <w:lang w:eastAsia="zh-CN"/>
              </w:rPr>
              <w:t>2hr容量</w:t>
            </w:r>
          </w:p>
        </w:tc>
        <w:tc>
          <w:tcPr>
            <w:tcW w:w="3856" w:type="dxa"/>
            <w:vMerge w:val="restart"/>
            <w:vAlign w:val="center"/>
          </w:tcPr>
          <w:p>
            <w:pPr>
              <w:pStyle w:val="9"/>
              <w:spacing w:before="80" w:line="233" w:lineRule="auto"/>
              <w:jc w:val="center"/>
              <w:rPr>
                <w:lang w:eastAsia="zh-CN"/>
              </w:rPr>
            </w:pPr>
            <w:r>
              <w:t>GB/T 22199.1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2" w:hRule="atLeast"/>
        </w:trPr>
        <w:tc>
          <w:tcPr>
            <w:tcW w:w="1236" w:type="dxa"/>
          </w:tcPr>
          <w:p>
            <w:pPr>
              <w:pStyle w:val="9"/>
              <w:spacing w:before="80" w:line="270" w:lineRule="exact"/>
              <w:ind w:left="573"/>
            </w:pPr>
            <w:r>
              <w:rPr>
                <w:position w:val="1"/>
              </w:rPr>
              <w:t>2</w:t>
            </w:r>
          </w:p>
        </w:tc>
        <w:tc>
          <w:tcPr>
            <w:tcW w:w="4076" w:type="dxa"/>
            <w:vAlign w:val="center"/>
          </w:tcPr>
          <w:p>
            <w:pPr>
              <w:spacing w:before="100" w:beforeAutospacing="1" w:after="100" w:afterAutospacing="1" w:line="360" w:lineRule="auto"/>
              <w:jc w:val="center"/>
              <w:rPr>
                <w:rFonts w:ascii="宋体" w:hAnsi="宋体" w:eastAsia="宋体" w:cs="宋体"/>
                <w:spacing w:val="7"/>
                <w:sz w:val="20"/>
                <w:szCs w:val="20"/>
              </w:rPr>
            </w:pPr>
            <w:r>
              <w:rPr>
                <w:rFonts w:hint="eastAsia" w:ascii="宋体" w:hAnsi="宋体" w:eastAsia="宋体" w:cs="宋体"/>
                <w:spacing w:val="7"/>
                <w:sz w:val="20"/>
                <w:szCs w:val="20"/>
              </w:rPr>
              <w:t>大电流放电</w:t>
            </w:r>
          </w:p>
        </w:tc>
        <w:tc>
          <w:tcPr>
            <w:tcW w:w="3856" w:type="dxa"/>
            <w:vMerge w:val="continue"/>
            <w:vAlign w:val="center"/>
          </w:tcPr>
          <w:p>
            <w:pPr>
              <w:pStyle w:val="9"/>
              <w:spacing w:before="79" w:line="233" w:lineRule="auto"/>
              <w:jc w:val="center"/>
              <w:rPr>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1" w:hRule="atLeast"/>
        </w:trPr>
        <w:tc>
          <w:tcPr>
            <w:tcW w:w="1236" w:type="dxa"/>
          </w:tcPr>
          <w:p>
            <w:pPr>
              <w:pStyle w:val="9"/>
              <w:spacing w:before="79" w:line="269" w:lineRule="exact"/>
              <w:ind w:left="574"/>
            </w:pPr>
            <w:r>
              <w:rPr>
                <w:position w:val="1"/>
              </w:rPr>
              <w:t>3</w:t>
            </w:r>
          </w:p>
        </w:tc>
        <w:tc>
          <w:tcPr>
            <w:tcW w:w="4076" w:type="dxa"/>
            <w:vAlign w:val="center"/>
          </w:tcPr>
          <w:p>
            <w:pPr>
              <w:spacing w:before="100" w:beforeAutospacing="1" w:after="100" w:afterAutospacing="1" w:line="360" w:lineRule="auto"/>
              <w:jc w:val="center"/>
              <w:rPr>
                <w:rFonts w:ascii="宋体" w:hAnsi="宋体" w:eastAsia="宋体" w:cs="宋体"/>
                <w:spacing w:val="7"/>
                <w:sz w:val="20"/>
                <w:szCs w:val="20"/>
                <w:lang w:eastAsia="zh-CN"/>
              </w:rPr>
            </w:pPr>
            <w:r>
              <w:rPr>
                <w:rFonts w:hint="eastAsia" w:ascii="宋体" w:hAnsi="宋体" w:eastAsia="宋体" w:cs="宋体"/>
                <w:spacing w:val="7"/>
                <w:sz w:val="20"/>
                <w:szCs w:val="20"/>
              </w:rPr>
              <w:t>能量密度</w:t>
            </w:r>
            <w:r>
              <w:rPr>
                <w:rFonts w:hint="eastAsia" w:ascii="宋体" w:hAnsi="宋体" w:eastAsia="宋体" w:cs="宋体"/>
                <w:spacing w:val="7"/>
                <w:sz w:val="20"/>
                <w:szCs w:val="20"/>
                <w:lang w:eastAsia="zh-CN"/>
              </w:rPr>
              <w:t>/重量比能量</w:t>
            </w:r>
          </w:p>
        </w:tc>
        <w:tc>
          <w:tcPr>
            <w:tcW w:w="3856" w:type="dxa"/>
            <w:vMerge w:val="continue"/>
            <w:vAlign w:val="center"/>
          </w:tcPr>
          <w:p>
            <w:pPr>
              <w:pStyle w:val="9"/>
              <w:spacing w:before="79" w:line="233" w:lineRule="auto"/>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1" w:hRule="atLeast"/>
        </w:trPr>
        <w:tc>
          <w:tcPr>
            <w:tcW w:w="1236" w:type="dxa"/>
          </w:tcPr>
          <w:p>
            <w:pPr>
              <w:pStyle w:val="9"/>
              <w:spacing w:before="80" w:line="270" w:lineRule="exact"/>
              <w:ind w:left="569"/>
            </w:pPr>
            <w:r>
              <w:rPr>
                <w:position w:val="1"/>
              </w:rPr>
              <w:t>4</w:t>
            </w:r>
          </w:p>
        </w:tc>
        <w:tc>
          <w:tcPr>
            <w:tcW w:w="4076" w:type="dxa"/>
            <w:vAlign w:val="center"/>
          </w:tcPr>
          <w:p>
            <w:pPr>
              <w:spacing w:before="100" w:beforeAutospacing="1" w:after="100" w:afterAutospacing="1" w:line="360" w:lineRule="auto"/>
              <w:jc w:val="center"/>
              <w:rPr>
                <w:rFonts w:ascii="宋体" w:hAnsi="宋体" w:eastAsia="宋体" w:cs="宋体"/>
                <w:spacing w:val="7"/>
                <w:sz w:val="20"/>
                <w:szCs w:val="20"/>
                <w:lang w:eastAsia="zh-CN"/>
              </w:rPr>
            </w:pPr>
            <w:r>
              <w:rPr>
                <w:rFonts w:hint="eastAsia" w:ascii="宋体" w:hAnsi="宋体" w:eastAsia="宋体" w:cs="宋体"/>
                <w:spacing w:val="7"/>
                <w:sz w:val="20"/>
                <w:szCs w:val="20"/>
                <w:lang w:eastAsia="zh-CN"/>
              </w:rPr>
              <w:t>低温容量/不同温度下的容量</w:t>
            </w:r>
          </w:p>
        </w:tc>
        <w:tc>
          <w:tcPr>
            <w:tcW w:w="3856" w:type="dxa"/>
            <w:vMerge w:val="continue"/>
            <w:vAlign w:val="center"/>
          </w:tcPr>
          <w:p>
            <w:pPr>
              <w:pStyle w:val="9"/>
              <w:spacing w:before="80" w:line="233" w:lineRule="auto"/>
              <w:jc w:val="center"/>
              <w:rPr>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1" w:hRule="atLeast"/>
        </w:trPr>
        <w:tc>
          <w:tcPr>
            <w:tcW w:w="1236" w:type="dxa"/>
          </w:tcPr>
          <w:p>
            <w:pPr>
              <w:pStyle w:val="9"/>
              <w:spacing w:before="80" w:line="270" w:lineRule="exact"/>
              <w:ind w:left="569"/>
              <w:rPr>
                <w:position w:val="1"/>
                <w:lang w:eastAsia="zh-CN"/>
              </w:rPr>
            </w:pPr>
            <w:r>
              <w:rPr>
                <w:rFonts w:hint="eastAsia"/>
                <w:position w:val="1"/>
                <w:lang w:eastAsia="zh-CN"/>
              </w:rPr>
              <w:t>5</w:t>
            </w:r>
          </w:p>
        </w:tc>
        <w:tc>
          <w:tcPr>
            <w:tcW w:w="4076" w:type="dxa"/>
            <w:vAlign w:val="center"/>
          </w:tcPr>
          <w:p>
            <w:pPr>
              <w:spacing w:before="100" w:beforeAutospacing="1" w:after="100" w:afterAutospacing="1" w:line="360" w:lineRule="auto"/>
              <w:jc w:val="center"/>
              <w:rPr>
                <w:rFonts w:ascii="宋体" w:hAnsi="宋体" w:eastAsia="宋体" w:cs="宋体"/>
                <w:spacing w:val="7"/>
                <w:sz w:val="20"/>
                <w:szCs w:val="20"/>
                <w:lang w:eastAsia="zh-CN"/>
              </w:rPr>
            </w:pPr>
            <w:r>
              <w:rPr>
                <w:rFonts w:hint="eastAsia" w:ascii="宋体" w:hAnsi="宋体" w:eastAsia="宋体" w:cs="宋体"/>
                <w:spacing w:val="7"/>
                <w:sz w:val="20"/>
                <w:szCs w:val="20"/>
              </w:rPr>
              <w:t>快速充电能力</w:t>
            </w:r>
          </w:p>
        </w:tc>
        <w:tc>
          <w:tcPr>
            <w:tcW w:w="3856" w:type="dxa"/>
            <w:vMerge w:val="continue"/>
            <w:vAlign w:val="center"/>
          </w:tcPr>
          <w:p>
            <w:pPr>
              <w:pStyle w:val="9"/>
              <w:spacing w:before="80" w:line="233" w:lineRule="auto"/>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1" w:hRule="atLeast"/>
        </w:trPr>
        <w:tc>
          <w:tcPr>
            <w:tcW w:w="1236" w:type="dxa"/>
          </w:tcPr>
          <w:p>
            <w:pPr>
              <w:pStyle w:val="9"/>
              <w:spacing w:before="80" w:line="270" w:lineRule="exact"/>
              <w:ind w:left="569"/>
              <w:rPr>
                <w:position w:val="1"/>
                <w:lang w:eastAsia="zh-CN"/>
              </w:rPr>
            </w:pPr>
            <w:r>
              <w:rPr>
                <w:rFonts w:hint="eastAsia"/>
                <w:position w:val="1"/>
                <w:lang w:eastAsia="zh-CN"/>
              </w:rPr>
              <w:t>6</w:t>
            </w:r>
          </w:p>
        </w:tc>
        <w:tc>
          <w:tcPr>
            <w:tcW w:w="4076" w:type="dxa"/>
            <w:vAlign w:val="center"/>
          </w:tcPr>
          <w:p>
            <w:pPr>
              <w:spacing w:before="100" w:beforeAutospacing="1" w:after="100" w:afterAutospacing="1" w:line="360" w:lineRule="auto"/>
              <w:jc w:val="center"/>
              <w:rPr>
                <w:rFonts w:ascii="宋体" w:hAnsi="宋体" w:eastAsia="宋体" w:cs="宋体"/>
                <w:spacing w:val="7"/>
                <w:sz w:val="20"/>
                <w:szCs w:val="20"/>
              </w:rPr>
            </w:pPr>
            <w:r>
              <w:rPr>
                <w:rFonts w:hint="eastAsia" w:ascii="宋体" w:hAnsi="宋体" w:eastAsia="宋体" w:cs="宋体"/>
                <w:spacing w:val="7"/>
                <w:sz w:val="20"/>
                <w:szCs w:val="20"/>
              </w:rPr>
              <w:t>防爆能力</w:t>
            </w:r>
          </w:p>
        </w:tc>
        <w:tc>
          <w:tcPr>
            <w:tcW w:w="3856" w:type="dxa"/>
            <w:vMerge w:val="continue"/>
            <w:vAlign w:val="center"/>
          </w:tcPr>
          <w:p>
            <w:pPr>
              <w:pStyle w:val="9"/>
              <w:spacing w:before="80" w:line="233" w:lineRule="auto"/>
              <w:jc w:val="center"/>
            </w:pPr>
          </w:p>
        </w:tc>
      </w:tr>
    </w:tbl>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ascii="宋体" w:hAnsi="宋体" w:eastAsia="宋体" w:cs="Times New Roman"/>
          <w:snapToGrid/>
          <w:kern w:val="2"/>
          <w:lang w:eastAsia="zh-CN"/>
        </w:rPr>
        <w:t>注：上表所列检验项目是有关法律法规、标准等规定的，重点涉及健康、安全、节能、环保以及 消费者、有关组织反映有质量问题的重要项目。</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ascii="宋体" w:hAnsi="宋体" w:eastAsia="宋体" w:cs="Times New Roman"/>
          <w:snapToGrid/>
          <w:kern w:val="2"/>
          <w:lang w:eastAsia="zh-CN"/>
        </w:rPr>
        <w:t>执行企业标准、团体标准、地方标准、行业标准的产品，检验项目参照上述内容执行。</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p>
    <w:p>
      <w:pPr>
        <w:pStyle w:val="2"/>
        <w:widowControl w:val="0"/>
        <w:kinsoku/>
        <w:autoSpaceDE/>
        <w:autoSpaceDN/>
        <w:adjustRightInd/>
        <w:snapToGrid/>
        <w:spacing w:line="400" w:lineRule="exact"/>
        <w:ind w:firstLine="420" w:firstLineChars="200"/>
        <w:textAlignment w:val="auto"/>
        <w:rPr>
          <w:rFonts w:eastAsiaTheme="minorEastAsia"/>
          <w:lang w:eastAsia="zh-CN"/>
        </w:rPr>
      </w:pPr>
      <w:r>
        <w:rPr>
          <w:rFonts w:ascii="宋体" w:hAnsi="宋体" w:eastAsia="宋体" w:cs="Times New Roman"/>
          <w:snapToGrid/>
          <w:kern w:val="2"/>
          <w:lang w:eastAsia="zh-CN"/>
        </w:rPr>
        <w:t>凡是注日期的文件，其随后所有的修改单（不包括勘误的内容）或修订版不适用于本细则。凡是不注日期的文件，</w:t>
      </w:r>
      <w:r>
        <w:rPr>
          <w:lang w:eastAsia="zh-CN"/>
        </w:rPr>
        <w:t>其最新版本适用于本细则。</w:t>
      </w:r>
    </w:p>
    <w:p>
      <w:pPr>
        <w:pStyle w:val="2"/>
        <w:widowControl w:val="0"/>
        <w:kinsoku/>
        <w:autoSpaceDE/>
        <w:autoSpaceDN/>
        <w:adjustRightInd/>
        <w:snapToGrid/>
        <w:spacing w:line="400" w:lineRule="exact"/>
        <w:ind w:firstLine="420" w:firstLineChars="200"/>
        <w:textAlignment w:val="auto"/>
        <w:rPr>
          <w:rFonts w:ascii="宋体" w:hAnsi="宋体" w:cs="Times New Roman" w:eastAsiaTheme="minorEastAsia"/>
          <w:snapToGrid/>
          <w:kern w:val="2"/>
          <w:lang w:eastAsia="zh-CN"/>
        </w:rPr>
      </w:pPr>
      <w:r>
        <w:rPr>
          <w:lang w:eastAsia="zh-CN"/>
        </w:rPr>
        <w:t>产品明示标准未标注年代号的，检验时根据生产日期选择有效的执行标准。</w:t>
      </w:r>
    </w:p>
    <w:p>
      <w:pPr>
        <w:pStyle w:val="3"/>
        <w:widowControl w:val="0"/>
        <w:kinsoku/>
        <w:autoSpaceDE/>
        <w:autoSpaceDN/>
        <w:adjustRightInd/>
        <w:snapToGrid/>
        <w:spacing w:line="400" w:lineRule="exact"/>
        <w:ind w:left="17"/>
        <w:jc w:val="both"/>
        <w:textAlignment w:val="auto"/>
        <w:outlineLvl w:val="1"/>
        <w:rPr>
          <w:b/>
          <w:bCs/>
          <w:snapToGrid/>
          <w:spacing w:val="-5"/>
          <w:kern w:val="2"/>
          <w:sz w:val="21"/>
          <w:szCs w:val="21"/>
          <w:lang w:eastAsia="zh-CN"/>
        </w:rPr>
      </w:pPr>
      <w:r>
        <w:rPr>
          <w:b/>
          <w:bCs/>
          <w:snapToGrid/>
          <w:spacing w:val="-5"/>
          <w:kern w:val="2"/>
          <w:sz w:val="21"/>
          <w:szCs w:val="21"/>
          <w:lang w:eastAsia="zh-CN"/>
        </w:rPr>
        <w:t>3 判定规则</w:t>
      </w:r>
    </w:p>
    <w:p>
      <w:pPr>
        <w:pStyle w:val="3"/>
        <w:spacing w:before="161" w:line="227" w:lineRule="auto"/>
        <w:ind w:left="122"/>
        <w:rPr>
          <w:spacing w:val="4"/>
          <w:lang w:eastAsia="zh-CN"/>
        </w:rPr>
      </w:pPr>
      <w:r>
        <w:rPr>
          <w:spacing w:val="4"/>
          <w:lang w:eastAsia="zh-CN"/>
        </w:rPr>
        <w:t>3.1 依据标准</w:t>
      </w:r>
    </w:p>
    <w:p>
      <w:pPr>
        <w:pStyle w:val="3"/>
        <w:spacing w:before="161" w:line="227" w:lineRule="auto"/>
        <w:ind w:left="122" w:leftChars="58" w:firstLine="400" w:firstLineChars="200"/>
        <w:rPr>
          <w:lang w:eastAsia="zh-CN"/>
        </w:rPr>
      </w:pPr>
      <w:r>
        <w:rPr>
          <w:lang w:eastAsia="zh-CN"/>
        </w:rPr>
        <w:t>GB/T 22199.1 电动助力车用阀控式铅酸蓄电池 第 1 部分：技术条件</w:t>
      </w:r>
    </w:p>
    <w:p>
      <w:pPr>
        <w:pStyle w:val="3"/>
        <w:spacing w:before="161" w:line="227" w:lineRule="auto"/>
        <w:ind w:left="122" w:leftChars="58" w:firstLine="420" w:firstLineChars="200"/>
        <w:rPr>
          <w:rFonts w:cs="Times New Roman"/>
          <w:snapToGrid/>
          <w:kern w:val="2"/>
          <w:sz w:val="21"/>
          <w:szCs w:val="21"/>
          <w:lang w:eastAsia="zh-CN"/>
        </w:rPr>
      </w:pPr>
      <w:r>
        <w:rPr>
          <w:rFonts w:cs="Times New Roman"/>
          <w:snapToGrid/>
          <w:kern w:val="2"/>
          <w:sz w:val="21"/>
          <w:szCs w:val="21"/>
          <w:lang w:eastAsia="zh-CN"/>
        </w:rPr>
        <w:t xml:space="preserve">相关的法律法规、部门规章和规范 </w:t>
      </w:r>
    </w:p>
    <w:p>
      <w:pPr>
        <w:pStyle w:val="3"/>
        <w:spacing w:before="161" w:line="227" w:lineRule="auto"/>
        <w:ind w:left="122" w:leftChars="58" w:firstLine="420" w:firstLineChars="200"/>
        <w:rPr>
          <w:rFonts w:cs="Times New Roman"/>
          <w:snapToGrid/>
          <w:kern w:val="2"/>
          <w:sz w:val="21"/>
          <w:szCs w:val="21"/>
          <w:lang w:eastAsia="zh-CN"/>
        </w:rPr>
      </w:pPr>
      <w:r>
        <w:rPr>
          <w:rFonts w:cs="Times New Roman"/>
          <w:snapToGrid/>
          <w:kern w:val="2"/>
          <w:sz w:val="21"/>
          <w:szCs w:val="21"/>
          <w:lang w:eastAsia="zh-CN"/>
        </w:rPr>
        <w:t>现行有效的企业标准、团体标准、地方标准及产品明示质量要求</w:t>
      </w:r>
    </w:p>
    <w:p>
      <w:pPr>
        <w:pStyle w:val="3"/>
        <w:spacing w:before="161" w:line="227" w:lineRule="auto"/>
        <w:ind w:left="122"/>
        <w:rPr>
          <w:spacing w:val="4"/>
          <w:lang w:eastAsia="zh-CN"/>
        </w:rPr>
      </w:pPr>
      <w:r>
        <w:rPr>
          <w:spacing w:val="4"/>
          <w:lang w:eastAsia="zh-CN"/>
        </w:rPr>
        <w:t>3.2 判定原则</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经检验，检验项目全部合格，判定为被抽查产品所检项目未发现不合格；检验项目中任一项或一项以上不合格，判定为被抽查产品不合格。</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若被检产品明示的质量要求高于本细则中检验项目依据的标准要求时，应按被检产品明示的质量要求判定。</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若被检产品明示的质量要求低于本细则中检验项目依据的强制性标准要求时，应按照强制性标准要求判定。</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若被检产品明示的质量要求低于或包含细则中检验项目依据的推荐性标准要求时，应以被检产品明示的质量要求判定，但应在检验报告备注中进行说明。</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若被检产品明示的质量要求缺少本细则中检验项目依据的强制性标准要求时，应按照强制性标准要求判定。</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r>
        <w:rPr>
          <w:rFonts w:hint="eastAsia" w:ascii="宋体" w:hAnsi="宋体" w:eastAsia="宋体" w:cs="Times New Roman"/>
          <w:snapToGrid/>
          <w:kern w:val="2"/>
          <w:lang w:eastAsia="zh-CN"/>
        </w:rPr>
        <w:t>若被检产品明示的质量要求缺少本细则中检验项目依据的推荐性标准要求时，该项目不参与判定，但应在检验报告备注中进行说明。</w:t>
      </w:r>
    </w:p>
    <w:p>
      <w:pPr>
        <w:pStyle w:val="3"/>
        <w:widowControl w:val="0"/>
        <w:kinsoku/>
        <w:autoSpaceDE/>
        <w:autoSpaceDN/>
        <w:adjustRightInd/>
        <w:snapToGrid/>
        <w:spacing w:line="400" w:lineRule="exact"/>
        <w:ind w:left="17"/>
        <w:jc w:val="both"/>
        <w:textAlignment w:val="auto"/>
        <w:outlineLvl w:val="1"/>
        <w:rPr>
          <w:b/>
          <w:bCs/>
          <w:snapToGrid/>
          <w:spacing w:val="-5"/>
          <w:kern w:val="2"/>
          <w:sz w:val="21"/>
          <w:szCs w:val="21"/>
          <w:lang w:eastAsia="zh-CN"/>
        </w:rPr>
      </w:pPr>
      <w:r>
        <w:rPr>
          <w:b/>
          <w:bCs/>
          <w:snapToGrid/>
          <w:spacing w:val="-5"/>
          <w:kern w:val="2"/>
          <w:sz w:val="21"/>
          <w:szCs w:val="21"/>
          <w:lang w:eastAsia="zh-CN"/>
        </w:rPr>
        <w:t>4 异议复检</w:t>
      </w:r>
    </w:p>
    <w:p>
      <w:pPr>
        <w:pStyle w:val="3"/>
        <w:spacing w:before="2" w:line="354" w:lineRule="auto"/>
        <w:ind w:left="135" w:right="111" w:firstLine="403"/>
        <w:rPr>
          <w:rFonts w:cs="Times New Roman"/>
          <w:snapToGrid/>
          <w:kern w:val="2"/>
          <w:sz w:val="21"/>
          <w:szCs w:val="21"/>
          <w:lang w:eastAsia="zh-CN"/>
        </w:rPr>
      </w:pPr>
      <w:r>
        <w:rPr>
          <w:rFonts w:cs="Times New Roman"/>
          <w:snapToGrid/>
          <w:kern w:val="2"/>
          <w:sz w:val="21"/>
          <w:szCs w:val="21"/>
          <w:lang w:eastAsia="zh-CN"/>
        </w:rPr>
        <w:t>本细则中确定的全部检验项目，采用备用样品进行复检，相关标准规定有仲裁法的，复检应采用仲裁法。</w:t>
      </w:r>
    </w:p>
    <w:p>
      <w:pPr>
        <w:pStyle w:val="2"/>
        <w:widowControl w:val="0"/>
        <w:kinsoku/>
        <w:autoSpaceDE/>
        <w:autoSpaceDN/>
        <w:adjustRightInd/>
        <w:snapToGrid/>
        <w:spacing w:line="400" w:lineRule="exact"/>
        <w:ind w:firstLine="420" w:firstLineChars="200"/>
        <w:textAlignment w:val="auto"/>
        <w:rPr>
          <w:rFonts w:ascii="宋体" w:hAnsi="宋体" w:eastAsia="宋体" w:cs="Times New Roman"/>
          <w:snapToGrid/>
          <w:kern w:val="2"/>
          <w:lang w:eastAsia="zh-CN"/>
        </w:rPr>
      </w:pPr>
    </w:p>
    <w:sectPr>
      <w:footerReference r:id="rId3" w:type="default"/>
      <w:pgSz w:w="11906" w:h="16839"/>
      <w:pgMar w:top="1046" w:right="1362" w:bottom="1362" w:left="1596" w:header="0" w:footer="12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32"/>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2"/>
  </w:compat>
  <w:rsids>
    <w:rsidRoot w:val="00212F74"/>
    <w:rsid w:val="00212F74"/>
    <w:rsid w:val="00700BB5"/>
    <w:rsid w:val="00800C60"/>
    <w:rsid w:val="00B928BE"/>
    <w:rsid w:val="00BA252D"/>
    <w:rsid w:val="00F13D2C"/>
    <w:rsid w:val="00FA0BA7"/>
    <w:rsid w:val="03DC2C52"/>
    <w:rsid w:val="08AD4E49"/>
    <w:rsid w:val="0CAF268A"/>
    <w:rsid w:val="0ECD24E0"/>
    <w:rsid w:val="153C2279"/>
    <w:rsid w:val="247A388C"/>
    <w:rsid w:val="281C1498"/>
    <w:rsid w:val="2CC413E2"/>
    <w:rsid w:val="30CB12D1"/>
    <w:rsid w:val="385B588E"/>
    <w:rsid w:val="3B006D19"/>
    <w:rsid w:val="41273B47"/>
    <w:rsid w:val="483A42C7"/>
    <w:rsid w:val="4FEFC118"/>
    <w:rsid w:val="4FF2410E"/>
    <w:rsid w:val="51A159FE"/>
    <w:rsid w:val="5CD36BF8"/>
    <w:rsid w:val="5F724B4A"/>
    <w:rsid w:val="604007A4"/>
    <w:rsid w:val="65B732B6"/>
    <w:rsid w:val="6EA14B04"/>
    <w:rsid w:val="6FBB1BF5"/>
    <w:rsid w:val="75F06371"/>
    <w:rsid w:val="78283BA0"/>
    <w:rsid w:val="7AC054CF"/>
    <w:rsid w:val="7DBB271B"/>
    <w:rsid w:val="B27B99B1"/>
    <w:rsid w:val="EAA3BCCB"/>
    <w:rsid w:val="EB8BEC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qFormat/>
    <w:uiPriority w:val="99"/>
  </w:style>
  <w:style w:type="paragraph" w:styleId="3">
    <w:name w:val="Body Text"/>
    <w:basedOn w:val="1"/>
    <w:link w:val="13"/>
    <w:semiHidden/>
    <w:qFormat/>
    <w:uiPriority w:val="0"/>
    <w:rPr>
      <w:rFonts w:ascii="宋体" w:hAnsi="宋体" w:eastAsia="宋体" w:cs="宋体"/>
      <w:sz w:val="20"/>
      <w:szCs w:val="20"/>
    </w:rPr>
  </w:style>
  <w:style w:type="paragraph" w:styleId="4">
    <w:name w:val="footer"/>
    <w:basedOn w:val="1"/>
    <w:link w:val="11"/>
    <w:uiPriority w:val="0"/>
    <w:pPr>
      <w:tabs>
        <w:tab w:val="center" w:pos="4153"/>
        <w:tab w:val="right" w:pos="8306"/>
      </w:tabs>
    </w:pPr>
    <w:rPr>
      <w:sz w:val="18"/>
      <w:szCs w:val="18"/>
    </w:rPr>
  </w:style>
  <w:style w:type="paragraph" w:styleId="5">
    <w:name w:val="header"/>
    <w:basedOn w:val="1"/>
    <w:link w:val="10"/>
    <w:uiPriority w:val="0"/>
    <w:pPr>
      <w:pBdr>
        <w:bottom w:val="single" w:color="auto" w:sz="6" w:space="1"/>
      </w:pBdr>
      <w:tabs>
        <w:tab w:val="center" w:pos="4153"/>
        <w:tab w:val="right" w:pos="8306"/>
      </w:tabs>
      <w:jc w:val="center"/>
    </w:pPr>
    <w:rPr>
      <w:sz w:val="18"/>
      <w:szCs w:val="18"/>
    </w:rPr>
  </w:style>
  <w:style w:type="table" w:customStyle="1" w:styleId="8">
    <w:name w:val="Table Normal"/>
    <w:semiHidden/>
    <w:unhideWhenUsed/>
    <w:qFormat/>
    <w:uiPriority w:val="0"/>
    <w:tblPr>
      <w:tblLayout w:type="fixed"/>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0"/>
      <w:szCs w:val="20"/>
    </w:rPr>
  </w:style>
  <w:style w:type="character" w:customStyle="1" w:styleId="10">
    <w:name w:val="页眉 Char"/>
    <w:basedOn w:val="6"/>
    <w:link w:val="5"/>
    <w:uiPriority w:val="0"/>
    <w:rPr>
      <w:rFonts w:ascii="Arial" w:hAnsi="Arial" w:eastAsia="Arial" w:cs="Arial"/>
      <w:snapToGrid w:val="0"/>
      <w:color w:val="000000"/>
      <w:sz w:val="18"/>
      <w:szCs w:val="18"/>
      <w:lang w:eastAsia="en-US"/>
    </w:rPr>
  </w:style>
  <w:style w:type="character" w:customStyle="1" w:styleId="11">
    <w:name w:val="页脚 Char"/>
    <w:basedOn w:val="6"/>
    <w:link w:val="4"/>
    <w:qFormat/>
    <w:uiPriority w:val="0"/>
    <w:rPr>
      <w:rFonts w:ascii="Arial" w:hAnsi="Arial" w:eastAsia="Arial" w:cs="Arial"/>
      <w:snapToGrid w:val="0"/>
      <w:color w:val="000000"/>
      <w:sz w:val="18"/>
      <w:szCs w:val="18"/>
      <w:lang w:eastAsia="en-US"/>
    </w:rPr>
  </w:style>
  <w:style w:type="character" w:customStyle="1" w:styleId="12">
    <w:name w:val="批注文字 Char"/>
    <w:basedOn w:val="6"/>
    <w:link w:val="2"/>
    <w:uiPriority w:val="99"/>
    <w:rPr>
      <w:rFonts w:ascii="Arial" w:hAnsi="Arial" w:eastAsia="Arial" w:cs="Arial"/>
      <w:snapToGrid w:val="0"/>
      <w:color w:val="000000"/>
      <w:sz w:val="21"/>
      <w:szCs w:val="21"/>
      <w:lang w:eastAsia="en-US"/>
    </w:rPr>
  </w:style>
  <w:style w:type="character" w:customStyle="1" w:styleId="13">
    <w:name w:val="正文文本 Char"/>
    <w:basedOn w:val="6"/>
    <w:link w:val="3"/>
    <w:semiHidden/>
    <w:qFormat/>
    <w:uiPriority w:val="0"/>
    <w:rPr>
      <w:rFonts w:ascii="宋体" w:hAnsi="宋体" w:cs="宋体"/>
      <w:snapToGrid w:val="0"/>
      <w:color w:val="00000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153</Words>
  <Characters>876</Characters>
  <Lines>7</Lines>
  <Paragraphs>2</Paragraphs>
  <TotalTime>0</TotalTime>
  <ScaleCrop>false</ScaleCrop>
  <LinksUpToDate>false</LinksUpToDate>
  <CharactersWithSpaces>1027</CharactersWithSpaces>
  <Application>WPS Office_10.8.2.6543_F1E327BC-269C-435d-A152-05C5408002CA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2025-04-08T07:03:00Z</dcterms:created>
  <dc:creator>Legend User</dc:creator>
  <cp:lastModifiedBy>jq</cp:lastModifiedBy>
  <dcterms:modified xsi:type="dcterms:W3CDTF">2026-03-23T02:21:09Z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2025-03-31T12:03:28Z</vt:filetime>
  </property>
  <property fmtid="{D5CDD505-2E9C-101B-9397-08002B2CF9AE}" pid="4" name="KSOTemplateDocerSaveRecord">
    <vt:lpwstr>eyJoZGlkIjoiMDEwOGNiZmI5NzA4MWIzNjU0MDNlMTYyYzdiMjc5YTIiLCJ1c2VySWQiOiIyODIxMjczMDQifQ==</vt:lpwstr>
  </property>
  <property fmtid="{D5CDD505-2E9C-101B-9397-08002B2CF9AE}" pid="5" name="KSOProductBuildVer">
    <vt:lpwstr>2052-10.8.2.6543</vt:lpwstr>
  </property>
  <property fmtid="{D5CDD505-2E9C-101B-9397-08002B2CF9AE}" pid="6" name="ICV">
    <vt:lpwstr>6D1617874414414CA0E4DFED9FD7907B_12</vt:lpwstr>
  </property>
</Properties>
</file>