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消防水带</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rPr>
        <w:t>每批次产品抽取样品</w:t>
      </w:r>
      <w:r>
        <w:rPr>
          <w:rFonts w:hint="eastAsia"/>
          <w:spacing w:val="10"/>
          <w:lang w:val="en-US" w:eastAsia="zh-CN"/>
        </w:rPr>
        <w:t>2卷</w:t>
      </w:r>
      <w:r>
        <w:rPr>
          <w:rFonts w:hint="eastAsia"/>
          <w:spacing w:val="10"/>
        </w:rPr>
        <w:t>，其中</w:t>
      </w:r>
      <w:r>
        <w:rPr>
          <w:rFonts w:hint="eastAsia"/>
          <w:spacing w:val="10"/>
          <w:lang w:val="en-US" w:eastAsia="zh-CN"/>
        </w:rPr>
        <w:t>1卷</w:t>
      </w:r>
      <w:r>
        <w:rPr>
          <w:rFonts w:hint="eastAsia"/>
          <w:spacing w:val="10"/>
        </w:rPr>
        <w:t>作为检验样品，</w:t>
      </w:r>
      <w:r>
        <w:rPr>
          <w:rFonts w:hint="eastAsia"/>
          <w:spacing w:val="10"/>
          <w:lang w:val="en-US" w:eastAsia="zh-CN"/>
        </w:rPr>
        <w:t>1卷</w:t>
      </w:r>
      <w:r>
        <w:rPr>
          <w:rFonts w:hint="eastAsia"/>
          <w:spacing w:val="10"/>
        </w:rPr>
        <w:t>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消防水带</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color w:val="auto"/>
              </w:rPr>
            </w:pPr>
            <w:r>
              <w:rPr>
                <w:rFonts w:hint="eastAsia"/>
                <w:color w:val="auto"/>
              </w:rPr>
              <w:t>水压试验</w:t>
            </w:r>
          </w:p>
        </w:tc>
        <w:tc>
          <w:tcPr>
            <w:tcW w:w="3989" w:type="dxa"/>
            <w:vAlign w:val="center"/>
          </w:tcPr>
          <w:p w14:paraId="07F04513">
            <w:pPr>
              <w:pStyle w:val="6"/>
              <w:spacing w:before="31" w:line="233" w:lineRule="auto"/>
              <w:jc w:val="center"/>
              <w:rPr>
                <w:color w:val="auto"/>
              </w:rPr>
            </w:pPr>
            <w:r>
              <w:rPr>
                <w:rFonts w:hint="eastAsia"/>
                <w:color w:val="auto"/>
              </w:rPr>
              <w:t>GB6246-2011</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最小爆破压力</w:t>
            </w:r>
          </w:p>
        </w:tc>
        <w:tc>
          <w:tcPr>
            <w:tcW w:w="3989" w:type="dxa"/>
            <w:vAlign w:val="center"/>
          </w:tcPr>
          <w:p w14:paraId="3B817D72">
            <w:pPr>
              <w:pStyle w:val="6"/>
              <w:spacing w:before="31" w:line="233" w:lineRule="auto"/>
              <w:jc w:val="center"/>
              <w:rPr>
                <w:color w:val="auto"/>
              </w:rPr>
            </w:pPr>
            <w:r>
              <w:rPr>
                <w:rFonts w:hint="eastAsia"/>
                <w:color w:val="auto"/>
              </w:rPr>
              <w:t>GB6246-2011</w:t>
            </w:r>
          </w:p>
        </w:tc>
      </w:tr>
      <w:tr w14:paraId="747C7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E7C7B5D">
            <w:pPr>
              <w:pStyle w:val="6"/>
              <w:spacing w:before="66" w:line="189" w:lineRule="auto"/>
              <w:ind w:left="428"/>
              <w:jc w:val="both"/>
              <w:rPr>
                <w:color w:val="auto"/>
              </w:rPr>
            </w:pPr>
            <w:r>
              <w:rPr>
                <w:color w:val="auto"/>
              </w:rPr>
              <w:t>3</w:t>
            </w:r>
          </w:p>
        </w:tc>
        <w:tc>
          <w:tcPr>
            <w:tcW w:w="3684" w:type="dxa"/>
            <w:vAlign w:val="center"/>
          </w:tcPr>
          <w:p w14:paraId="535A9FE7">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延伸率</w:t>
            </w:r>
          </w:p>
        </w:tc>
        <w:tc>
          <w:tcPr>
            <w:tcW w:w="3989" w:type="dxa"/>
            <w:vAlign w:val="center"/>
          </w:tcPr>
          <w:p w14:paraId="20B132F3">
            <w:pPr>
              <w:pStyle w:val="6"/>
              <w:spacing w:before="31" w:line="233" w:lineRule="auto"/>
              <w:jc w:val="center"/>
              <w:rPr>
                <w:color w:val="auto"/>
              </w:rPr>
            </w:pPr>
            <w:r>
              <w:rPr>
                <w:rFonts w:hint="eastAsia"/>
                <w:color w:val="auto"/>
              </w:rPr>
              <w:t>GB6246-2011</w:t>
            </w:r>
          </w:p>
        </w:tc>
      </w:tr>
      <w:tr w14:paraId="0F4E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FE029">
            <w:pPr>
              <w:pStyle w:val="6"/>
              <w:spacing w:before="66" w:line="189" w:lineRule="auto"/>
              <w:ind w:left="423"/>
              <w:jc w:val="both"/>
              <w:rPr>
                <w:color w:val="auto"/>
              </w:rPr>
            </w:pPr>
            <w:r>
              <w:rPr>
                <w:color w:val="auto"/>
              </w:rPr>
              <w:t>4</w:t>
            </w:r>
          </w:p>
        </w:tc>
        <w:tc>
          <w:tcPr>
            <w:tcW w:w="3684" w:type="dxa"/>
            <w:vAlign w:val="center"/>
          </w:tcPr>
          <w:p w14:paraId="338E3157">
            <w:pPr>
              <w:pStyle w:val="6"/>
              <w:spacing w:before="31" w:line="228" w:lineRule="auto"/>
              <w:jc w:val="center"/>
              <w:rPr>
                <w:color w:val="auto"/>
                <w:spacing w:val="5"/>
              </w:rPr>
            </w:pPr>
            <w:r>
              <w:rPr>
                <w:rFonts w:hint="eastAsia"/>
                <w:color w:val="auto"/>
                <w:spacing w:val="5"/>
              </w:rPr>
              <w:t>膨胀率</w:t>
            </w:r>
          </w:p>
        </w:tc>
        <w:tc>
          <w:tcPr>
            <w:tcW w:w="3989" w:type="dxa"/>
            <w:vAlign w:val="center"/>
          </w:tcPr>
          <w:p w14:paraId="15F6F419">
            <w:pPr>
              <w:pStyle w:val="6"/>
              <w:spacing w:before="31" w:line="233" w:lineRule="auto"/>
              <w:jc w:val="center"/>
              <w:rPr>
                <w:color w:val="auto"/>
              </w:rPr>
            </w:pPr>
            <w:r>
              <w:rPr>
                <w:rFonts w:hint="eastAsia"/>
                <w:color w:val="auto"/>
              </w:rPr>
              <w:t>GB6246-2011</w:t>
            </w:r>
          </w:p>
        </w:tc>
      </w:tr>
      <w:tr w14:paraId="0BD505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941" w:type="dxa"/>
            <w:vAlign w:val="center"/>
          </w:tcPr>
          <w:p w14:paraId="7090D78E">
            <w:pPr>
              <w:pStyle w:val="6"/>
              <w:spacing w:before="71" w:line="187" w:lineRule="auto"/>
              <w:ind w:left="428"/>
              <w:jc w:val="both"/>
              <w:rPr>
                <w:color w:val="auto"/>
              </w:rPr>
            </w:pPr>
            <w:r>
              <w:rPr>
                <w:color w:val="auto"/>
              </w:rPr>
              <w:t>5</w:t>
            </w:r>
          </w:p>
        </w:tc>
        <w:tc>
          <w:tcPr>
            <w:tcW w:w="3684" w:type="dxa"/>
            <w:vAlign w:val="center"/>
          </w:tcPr>
          <w:p w14:paraId="62FA3698">
            <w:pPr>
              <w:pStyle w:val="6"/>
              <w:spacing w:before="31" w:line="228" w:lineRule="auto"/>
              <w:jc w:val="center"/>
              <w:rPr>
                <w:color w:val="auto"/>
                <w:spacing w:val="5"/>
              </w:rPr>
            </w:pPr>
            <w:r>
              <w:rPr>
                <w:rFonts w:hint="eastAsia"/>
                <w:color w:val="auto"/>
                <w:spacing w:val="5"/>
              </w:rPr>
              <w:t>扭转方向</w:t>
            </w:r>
          </w:p>
        </w:tc>
        <w:tc>
          <w:tcPr>
            <w:tcW w:w="3989" w:type="dxa"/>
            <w:vAlign w:val="center"/>
          </w:tcPr>
          <w:p w14:paraId="3FD30337">
            <w:pPr>
              <w:pStyle w:val="6"/>
              <w:spacing w:before="31" w:line="233" w:lineRule="auto"/>
              <w:jc w:val="center"/>
              <w:rPr>
                <w:color w:val="auto"/>
              </w:rPr>
            </w:pPr>
            <w:r>
              <w:rPr>
                <w:rFonts w:hint="eastAsia"/>
                <w:color w:val="auto"/>
              </w:rPr>
              <w:t>GB6246-2011</w:t>
            </w:r>
          </w:p>
        </w:tc>
      </w:tr>
      <w:tr w14:paraId="78615F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941" w:type="dxa"/>
            <w:vAlign w:val="center"/>
          </w:tcPr>
          <w:p w14:paraId="0B7F27CB">
            <w:pPr>
              <w:pStyle w:val="6"/>
              <w:spacing w:before="71" w:line="187" w:lineRule="auto"/>
              <w:ind w:left="428"/>
              <w:jc w:val="both"/>
              <w:rPr>
                <w:rFonts w:hint="eastAsia" w:eastAsia="宋体"/>
                <w:color w:val="auto"/>
                <w:lang w:val="en-US" w:eastAsia="zh-CN"/>
              </w:rPr>
            </w:pPr>
            <w:r>
              <w:rPr>
                <w:rFonts w:hint="eastAsia"/>
                <w:color w:val="auto"/>
                <w:lang w:val="en-US" w:eastAsia="zh-CN"/>
              </w:rPr>
              <w:t>6</w:t>
            </w:r>
          </w:p>
        </w:tc>
        <w:tc>
          <w:tcPr>
            <w:tcW w:w="3684" w:type="dxa"/>
            <w:vAlign w:val="center"/>
          </w:tcPr>
          <w:p w14:paraId="7212FD3F">
            <w:pPr>
              <w:pStyle w:val="6"/>
              <w:spacing w:before="31" w:line="228" w:lineRule="auto"/>
              <w:jc w:val="center"/>
              <w:rPr>
                <w:rFonts w:hint="eastAsia"/>
                <w:color w:val="auto"/>
                <w:spacing w:val="5"/>
              </w:rPr>
            </w:pPr>
            <w:r>
              <w:rPr>
                <w:rFonts w:hint="eastAsia"/>
                <w:color w:val="auto"/>
                <w:spacing w:val="5"/>
              </w:rPr>
              <w:t>附着强度</w:t>
            </w:r>
          </w:p>
        </w:tc>
        <w:tc>
          <w:tcPr>
            <w:tcW w:w="3989" w:type="dxa"/>
            <w:vAlign w:val="center"/>
          </w:tcPr>
          <w:p w14:paraId="223F9BC5">
            <w:pPr>
              <w:pStyle w:val="6"/>
              <w:spacing w:before="31" w:line="233" w:lineRule="auto"/>
              <w:jc w:val="center"/>
              <w:rPr>
                <w:color w:val="auto"/>
              </w:rPr>
            </w:pPr>
            <w:r>
              <w:rPr>
                <w:rFonts w:hint="eastAsia"/>
                <w:color w:val="auto"/>
              </w:rPr>
              <w:t>GB/T528-2009</w:t>
            </w:r>
          </w:p>
        </w:tc>
      </w:tr>
      <w:tr w14:paraId="788CE3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941" w:type="dxa"/>
            <w:vAlign w:val="center"/>
          </w:tcPr>
          <w:p w14:paraId="3CFC2FF7">
            <w:pPr>
              <w:pStyle w:val="6"/>
              <w:spacing w:before="71" w:line="187" w:lineRule="auto"/>
              <w:ind w:left="428"/>
              <w:jc w:val="both"/>
              <w:rPr>
                <w:rFonts w:hint="eastAsia" w:eastAsia="宋体"/>
                <w:color w:val="auto"/>
                <w:lang w:val="en-US" w:eastAsia="zh-CN"/>
              </w:rPr>
            </w:pPr>
            <w:r>
              <w:rPr>
                <w:rFonts w:hint="eastAsia"/>
                <w:color w:val="auto"/>
                <w:lang w:val="en-US" w:eastAsia="zh-CN"/>
              </w:rPr>
              <w:t>7</w:t>
            </w:r>
          </w:p>
        </w:tc>
        <w:tc>
          <w:tcPr>
            <w:tcW w:w="3684" w:type="dxa"/>
            <w:vAlign w:val="center"/>
          </w:tcPr>
          <w:p w14:paraId="09B6553B">
            <w:pPr>
              <w:pStyle w:val="6"/>
              <w:spacing w:before="31" w:line="228" w:lineRule="auto"/>
              <w:jc w:val="center"/>
              <w:rPr>
                <w:rFonts w:hint="eastAsia" w:eastAsia="宋体"/>
                <w:color w:val="auto"/>
                <w:spacing w:val="5"/>
                <w:lang w:val="en-US" w:eastAsia="zh-CN"/>
              </w:rPr>
            </w:pPr>
            <w:r>
              <w:rPr>
                <w:rFonts w:hint="eastAsia"/>
                <w:color w:val="auto"/>
                <w:spacing w:val="5"/>
              </w:rPr>
              <w:t>黏附性</w:t>
            </w:r>
          </w:p>
        </w:tc>
        <w:tc>
          <w:tcPr>
            <w:tcW w:w="3989" w:type="dxa"/>
            <w:vAlign w:val="center"/>
          </w:tcPr>
          <w:p w14:paraId="72A18218">
            <w:pPr>
              <w:pStyle w:val="6"/>
              <w:spacing w:before="31" w:line="233" w:lineRule="auto"/>
              <w:jc w:val="center"/>
              <w:rPr>
                <w:color w:val="auto"/>
              </w:rPr>
            </w:pPr>
            <w:r>
              <w:rPr>
                <w:rFonts w:hint="eastAsia"/>
                <w:color w:val="auto"/>
              </w:rPr>
              <w:t>GB 6246-2011</w:t>
            </w:r>
          </w:p>
        </w:tc>
      </w:tr>
      <w:tr w14:paraId="5D8DE7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941" w:type="dxa"/>
            <w:vAlign w:val="center"/>
          </w:tcPr>
          <w:p w14:paraId="43CEADDE">
            <w:pPr>
              <w:pStyle w:val="6"/>
              <w:spacing w:before="71" w:line="187" w:lineRule="auto"/>
              <w:ind w:left="428"/>
              <w:jc w:val="both"/>
              <w:rPr>
                <w:rFonts w:hint="eastAsia" w:eastAsia="宋体"/>
                <w:color w:val="auto"/>
                <w:lang w:val="en-US" w:eastAsia="zh-CN"/>
              </w:rPr>
            </w:pPr>
            <w:r>
              <w:rPr>
                <w:rFonts w:hint="eastAsia"/>
                <w:color w:val="auto"/>
                <w:lang w:val="en-US" w:eastAsia="zh-CN"/>
              </w:rPr>
              <w:t>8</w:t>
            </w:r>
          </w:p>
        </w:tc>
        <w:tc>
          <w:tcPr>
            <w:tcW w:w="3684" w:type="dxa"/>
            <w:vAlign w:val="center"/>
          </w:tcPr>
          <w:p w14:paraId="0760374B">
            <w:pPr>
              <w:pStyle w:val="6"/>
              <w:spacing w:before="31" w:line="228" w:lineRule="auto"/>
              <w:jc w:val="center"/>
              <w:rPr>
                <w:rFonts w:hint="eastAsia"/>
                <w:color w:val="auto"/>
                <w:spacing w:val="5"/>
              </w:rPr>
            </w:pPr>
            <w:r>
              <w:rPr>
                <w:rFonts w:hint="eastAsia"/>
                <w:color w:val="auto"/>
                <w:spacing w:val="5"/>
              </w:rPr>
              <w:t>热空气老化性能</w:t>
            </w:r>
          </w:p>
        </w:tc>
        <w:tc>
          <w:tcPr>
            <w:tcW w:w="3989" w:type="dxa"/>
            <w:vAlign w:val="center"/>
          </w:tcPr>
          <w:p w14:paraId="550DA51F">
            <w:pPr>
              <w:pStyle w:val="6"/>
              <w:spacing w:before="31" w:line="233" w:lineRule="auto"/>
              <w:jc w:val="center"/>
              <w:rPr>
                <w:color w:val="auto"/>
              </w:rPr>
            </w:pPr>
            <w:r>
              <w:rPr>
                <w:rFonts w:hint="eastAsia"/>
                <w:color w:val="auto"/>
              </w:rPr>
              <w:t>GB6246-2011</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1738FA89">
      <w:pPr>
        <w:pStyle w:val="2"/>
        <w:spacing w:before="162" w:line="227" w:lineRule="auto"/>
        <w:ind w:left="415"/>
        <w:rPr>
          <w:rFonts w:hint="default" w:eastAsia="宋体"/>
          <w:lang w:val="en-US" w:eastAsia="zh-CN"/>
        </w:rPr>
      </w:pPr>
      <w:r>
        <w:rPr>
          <w:rFonts w:hint="eastAsia"/>
          <w:spacing w:val="6"/>
        </w:rPr>
        <w:t>GB 6246-2011</w:t>
      </w:r>
      <w:r>
        <w:rPr>
          <w:rFonts w:hint="eastAsia"/>
          <w:spacing w:val="6"/>
          <w:lang w:val="en-US" w:eastAsia="zh-CN"/>
        </w:rPr>
        <w:t xml:space="preserve">  消防水带</w:t>
      </w:r>
      <w:bookmarkStart w:id="0" w:name="_GoBack"/>
      <w:bookmarkEnd w:id="0"/>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1D2E8C7">
      <w:pPr>
        <w:spacing w:line="228" w:lineRule="auto"/>
        <w:sectPr>
          <w:footerReference r:id="rId5" w:type="default"/>
          <w:pgSz w:w="11906" w:h="16839"/>
          <w:pgMar w:top="1431" w:right="1475" w:bottom="1562" w:left="1480" w:header="0" w:footer="1399" w:gutter="0"/>
          <w:cols w:space="720" w:num="1"/>
        </w:sectPr>
      </w:pP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6"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E6004">
    <w:pPr>
      <w:spacing w:line="176" w:lineRule="auto"/>
      <w:ind w:left="4448"/>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E55ECD"/>
    <w:rsid w:val="00F72CA9"/>
    <w:rsid w:val="01DD1E9F"/>
    <w:rsid w:val="029F53A6"/>
    <w:rsid w:val="03E272F9"/>
    <w:rsid w:val="069F5975"/>
    <w:rsid w:val="06A72A7B"/>
    <w:rsid w:val="06DF3FC3"/>
    <w:rsid w:val="07487DBA"/>
    <w:rsid w:val="07B76CEE"/>
    <w:rsid w:val="08BA6A96"/>
    <w:rsid w:val="08E91129"/>
    <w:rsid w:val="0970184A"/>
    <w:rsid w:val="0AB149F8"/>
    <w:rsid w:val="0B9A495D"/>
    <w:rsid w:val="0D5B011C"/>
    <w:rsid w:val="0D8633EB"/>
    <w:rsid w:val="0ECA37AB"/>
    <w:rsid w:val="115F642C"/>
    <w:rsid w:val="1202325C"/>
    <w:rsid w:val="12816876"/>
    <w:rsid w:val="12BE53D5"/>
    <w:rsid w:val="14172FEE"/>
    <w:rsid w:val="152F6116"/>
    <w:rsid w:val="16557DFE"/>
    <w:rsid w:val="170535D2"/>
    <w:rsid w:val="1C0E117B"/>
    <w:rsid w:val="1D3D0010"/>
    <w:rsid w:val="1D772D50"/>
    <w:rsid w:val="1DA67191"/>
    <w:rsid w:val="1EBA2EF4"/>
    <w:rsid w:val="1EE2244B"/>
    <w:rsid w:val="1EF36406"/>
    <w:rsid w:val="1EF7475A"/>
    <w:rsid w:val="202D5948"/>
    <w:rsid w:val="20E97AC1"/>
    <w:rsid w:val="22737F8A"/>
    <w:rsid w:val="22794E74"/>
    <w:rsid w:val="228E6713"/>
    <w:rsid w:val="23AE0B4E"/>
    <w:rsid w:val="24BA341D"/>
    <w:rsid w:val="25173549"/>
    <w:rsid w:val="26642895"/>
    <w:rsid w:val="267047E0"/>
    <w:rsid w:val="26C62652"/>
    <w:rsid w:val="284D4FC9"/>
    <w:rsid w:val="28E55011"/>
    <w:rsid w:val="2A17569E"/>
    <w:rsid w:val="2A622692"/>
    <w:rsid w:val="2BA72A52"/>
    <w:rsid w:val="2BC41856"/>
    <w:rsid w:val="2CCE2260"/>
    <w:rsid w:val="2CE51A84"/>
    <w:rsid w:val="2DE33AEA"/>
    <w:rsid w:val="2E4B3B69"/>
    <w:rsid w:val="2F154177"/>
    <w:rsid w:val="2F430CE4"/>
    <w:rsid w:val="2FF31CCF"/>
    <w:rsid w:val="30201025"/>
    <w:rsid w:val="304A7E50"/>
    <w:rsid w:val="309C68FD"/>
    <w:rsid w:val="316771C6"/>
    <w:rsid w:val="317B29B7"/>
    <w:rsid w:val="32E46701"/>
    <w:rsid w:val="32EC3440"/>
    <w:rsid w:val="33835B53"/>
    <w:rsid w:val="3498034E"/>
    <w:rsid w:val="35B244CD"/>
    <w:rsid w:val="35D408E8"/>
    <w:rsid w:val="36873BAC"/>
    <w:rsid w:val="36EE7787"/>
    <w:rsid w:val="399D5494"/>
    <w:rsid w:val="39CB2002"/>
    <w:rsid w:val="3BE41159"/>
    <w:rsid w:val="3D8E5820"/>
    <w:rsid w:val="3E2B12C1"/>
    <w:rsid w:val="3F823162"/>
    <w:rsid w:val="3FFC1167"/>
    <w:rsid w:val="40112738"/>
    <w:rsid w:val="40644F5E"/>
    <w:rsid w:val="40A13ABC"/>
    <w:rsid w:val="4258464E"/>
    <w:rsid w:val="438307EA"/>
    <w:rsid w:val="44782D86"/>
    <w:rsid w:val="44EB3558"/>
    <w:rsid w:val="45E5269D"/>
    <w:rsid w:val="45EA3612"/>
    <w:rsid w:val="45F12DF0"/>
    <w:rsid w:val="460A3EB2"/>
    <w:rsid w:val="463827CD"/>
    <w:rsid w:val="46FF153C"/>
    <w:rsid w:val="47121270"/>
    <w:rsid w:val="47460F19"/>
    <w:rsid w:val="48093869"/>
    <w:rsid w:val="4A25750C"/>
    <w:rsid w:val="4A8835F7"/>
    <w:rsid w:val="4AB77A1F"/>
    <w:rsid w:val="4B1F03FF"/>
    <w:rsid w:val="4B3A0D95"/>
    <w:rsid w:val="4B685902"/>
    <w:rsid w:val="4D243AAB"/>
    <w:rsid w:val="4D3F08E5"/>
    <w:rsid w:val="4D9329DF"/>
    <w:rsid w:val="4F5543EF"/>
    <w:rsid w:val="519B00B4"/>
    <w:rsid w:val="522A3090"/>
    <w:rsid w:val="54646E83"/>
    <w:rsid w:val="56064695"/>
    <w:rsid w:val="56464A92"/>
    <w:rsid w:val="56EC4AD0"/>
    <w:rsid w:val="591C1ADA"/>
    <w:rsid w:val="59B47F65"/>
    <w:rsid w:val="5A3B0686"/>
    <w:rsid w:val="5C451348"/>
    <w:rsid w:val="5E59732C"/>
    <w:rsid w:val="5F4955F3"/>
    <w:rsid w:val="5FCA6EB5"/>
    <w:rsid w:val="5FEA2932"/>
    <w:rsid w:val="6009588A"/>
    <w:rsid w:val="605B5100"/>
    <w:rsid w:val="608A5EC3"/>
    <w:rsid w:val="60AA44D7"/>
    <w:rsid w:val="6162299C"/>
    <w:rsid w:val="61923281"/>
    <w:rsid w:val="624F1172"/>
    <w:rsid w:val="62791D4B"/>
    <w:rsid w:val="62D52513"/>
    <w:rsid w:val="63E853DA"/>
    <w:rsid w:val="640F6E0B"/>
    <w:rsid w:val="64591E34"/>
    <w:rsid w:val="656F5AFD"/>
    <w:rsid w:val="65DA51F7"/>
    <w:rsid w:val="65E120E1"/>
    <w:rsid w:val="667B2536"/>
    <w:rsid w:val="66AD46B9"/>
    <w:rsid w:val="674F5770"/>
    <w:rsid w:val="67513297"/>
    <w:rsid w:val="67696832"/>
    <w:rsid w:val="6897117D"/>
    <w:rsid w:val="69117181"/>
    <w:rsid w:val="6A020517"/>
    <w:rsid w:val="6A0B3BD1"/>
    <w:rsid w:val="6A260A0B"/>
    <w:rsid w:val="6D3C6797"/>
    <w:rsid w:val="71D92806"/>
    <w:rsid w:val="72DB610A"/>
    <w:rsid w:val="72E20F9F"/>
    <w:rsid w:val="73E6120B"/>
    <w:rsid w:val="73F2195D"/>
    <w:rsid w:val="740C6EC3"/>
    <w:rsid w:val="76A5715B"/>
    <w:rsid w:val="790939D1"/>
    <w:rsid w:val="794B3FEA"/>
    <w:rsid w:val="7A010B4C"/>
    <w:rsid w:val="7A4647B1"/>
    <w:rsid w:val="7AC8166A"/>
    <w:rsid w:val="7B0C77A9"/>
    <w:rsid w:val="7B1A3007"/>
    <w:rsid w:val="7B1D7C08"/>
    <w:rsid w:val="7C1D7794"/>
    <w:rsid w:val="7CB41EA6"/>
    <w:rsid w:val="7D2232B3"/>
    <w:rsid w:val="7F8C710A"/>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800</Words>
  <Characters>902</Characters>
  <TotalTime>8</TotalTime>
  <ScaleCrop>false</ScaleCrop>
  <LinksUpToDate>false</LinksUpToDate>
  <CharactersWithSpaces>926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2026-03-13T01:36:34Z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