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电热毯</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rPr>
          <w:rFonts w:hint="eastAsia" w:eastAsia="宋体"/>
          <w:lang w:eastAsia="zh-CN"/>
        </w:rPr>
      </w:pPr>
      <w:r>
        <w:rPr>
          <w:rFonts w:hint="eastAsia"/>
          <w:spacing w:val="4"/>
        </w:rPr>
        <w:t>每批次产品抽取样品</w:t>
      </w:r>
      <w:r>
        <w:rPr>
          <w:rFonts w:hint="eastAsia"/>
          <w:spacing w:val="4"/>
          <w:lang w:val="en-US" w:eastAsia="zh-CN"/>
        </w:rPr>
        <w:t>2床</w:t>
      </w:r>
      <w:r>
        <w:rPr>
          <w:rFonts w:hint="eastAsia"/>
          <w:spacing w:val="4"/>
        </w:rPr>
        <w:t>，其中</w:t>
      </w:r>
      <w:r>
        <w:rPr>
          <w:rFonts w:hint="eastAsia"/>
          <w:spacing w:val="4"/>
          <w:lang w:val="en-US" w:eastAsia="zh-CN"/>
        </w:rPr>
        <w:t>1床</w:t>
      </w:r>
      <w:r>
        <w:rPr>
          <w:rFonts w:hint="eastAsia"/>
          <w:spacing w:val="4"/>
        </w:rPr>
        <w:t>作为检验样品，</w:t>
      </w:r>
      <w:r>
        <w:rPr>
          <w:rFonts w:hint="eastAsia"/>
          <w:spacing w:val="4"/>
          <w:lang w:val="en-US" w:eastAsia="zh-CN"/>
        </w:rPr>
        <w:t>1床</w:t>
      </w:r>
      <w:r>
        <w:rPr>
          <w:rFonts w:hint="eastAsia"/>
          <w:spacing w:val="4"/>
        </w:rPr>
        <w:t>作为备用样品</w:t>
      </w:r>
      <w:r>
        <w:rPr>
          <w:rFonts w:hint="eastAsia"/>
          <w:spacing w:val="4"/>
          <w:lang w:eastAsia="zh-CN"/>
        </w:rPr>
        <w:t>。</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电热毯</w:t>
      </w:r>
      <w:r>
        <w:rPr>
          <w:b/>
          <w:bCs/>
          <w:spacing w:val="6"/>
        </w:rPr>
        <w:t>产品检验项目</w:t>
      </w:r>
    </w:p>
    <w:p w14:paraId="205FD538">
      <w:pPr>
        <w:spacing w:line="95" w:lineRule="exact"/>
      </w:pPr>
    </w:p>
    <w:tbl>
      <w:tblPr>
        <w:tblStyle w:val="6"/>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7"/>
              <w:spacing w:before="35" w:line="229" w:lineRule="auto"/>
              <w:ind w:left="264"/>
              <w:jc w:val="both"/>
              <w:rPr>
                <w:color w:val="auto"/>
              </w:rPr>
            </w:pPr>
            <w:r>
              <w:rPr>
                <w:color w:val="auto"/>
                <w:spacing w:val="5"/>
              </w:rPr>
              <w:t>序号</w:t>
            </w:r>
          </w:p>
        </w:tc>
        <w:tc>
          <w:tcPr>
            <w:tcW w:w="3684" w:type="dxa"/>
            <w:vAlign w:val="center"/>
          </w:tcPr>
          <w:p w14:paraId="0736E773">
            <w:pPr>
              <w:pStyle w:val="7"/>
              <w:spacing w:before="35" w:line="228" w:lineRule="auto"/>
              <w:jc w:val="center"/>
              <w:rPr>
                <w:color w:val="auto"/>
              </w:rPr>
            </w:pPr>
            <w:r>
              <w:rPr>
                <w:color w:val="auto"/>
                <w:spacing w:val="7"/>
              </w:rPr>
              <w:t>检验项目</w:t>
            </w:r>
          </w:p>
        </w:tc>
        <w:tc>
          <w:tcPr>
            <w:tcW w:w="3989" w:type="dxa"/>
            <w:vAlign w:val="center"/>
          </w:tcPr>
          <w:p w14:paraId="24426BF6">
            <w:pPr>
              <w:pStyle w:val="7"/>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7"/>
              <w:spacing w:before="64" w:line="189" w:lineRule="auto"/>
              <w:ind w:left="439"/>
              <w:jc w:val="both"/>
              <w:rPr>
                <w:color w:val="auto"/>
              </w:rPr>
            </w:pPr>
            <w:r>
              <w:rPr>
                <w:color w:val="auto"/>
              </w:rPr>
              <w:t>1</w:t>
            </w:r>
          </w:p>
        </w:tc>
        <w:tc>
          <w:tcPr>
            <w:tcW w:w="3684" w:type="dxa"/>
            <w:vAlign w:val="center"/>
          </w:tcPr>
          <w:p w14:paraId="224E4555">
            <w:pPr>
              <w:pStyle w:val="7"/>
              <w:spacing w:before="31" w:line="228" w:lineRule="auto"/>
              <w:jc w:val="center"/>
              <w:rPr>
                <w:color w:val="auto"/>
              </w:rPr>
            </w:pPr>
            <w:r>
              <w:rPr>
                <w:rFonts w:hint="eastAsia"/>
                <w:color w:val="auto"/>
              </w:rPr>
              <w:t>标志和说明</w:t>
            </w:r>
          </w:p>
        </w:tc>
        <w:tc>
          <w:tcPr>
            <w:tcW w:w="3989" w:type="dxa"/>
            <w:vAlign w:val="center"/>
          </w:tcPr>
          <w:p w14:paraId="07F04513">
            <w:pPr>
              <w:pStyle w:val="7"/>
              <w:spacing w:before="31" w:line="233" w:lineRule="auto"/>
              <w:jc w:val="center"/>
              <w:rPr>
                <w:color w:val="auto"/>
              </w:rPr>
            </w:pPr>
            <w:r>
              <w:rPr>
                <w:rFonts w:hint="eastAsia"/>
                <w:color w:val="auto"/>
              </w:rPr>
              <w:t>GB4706.1-2005</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7"/>
              <w:spacing w:before="66" w:line="189" w:lineRule="auto"/>
              <w:ind w:left="426"/>
              <w:jc w:val="both"/>
              <w:rPr>
                <w:color w:val="auto"/>
              </w:rPr>
            </w:pPr>
            <w:r>
              <w:rPr>
                <w:color w:val="auto"/>
              </w:rPr>
              <w:t>2</w:t>
            </w:r>
          </w:p>
        </w:tc>
        <w:tc>
          <w:tcPr>
            <w:tcW w:w="3684" w:type="dxa"/>
            <w:vAlign w:val="center"/>
          </w:tcPr>
          <w:p w14:paraId="0126D6EF">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对触及带电部件的防护</w:t>
            </w:r>
          </w:p>
        </w:tc>
        <w:tc>
          <w:tcPr>
            <w:tcW w:w="3989" w:type="dxa"/>
            <w:vAlign w:val="center"/>
          </w:tcPr>
          <w:p w14:paraId="3B817D72">
            <w:pPr>
              <w:pStyle w:val="7"/>
              <w:spacing w:before="31" w:line="233" w:lineRule="auto"/>
              <w:jc w:val="center"/>
              <w:rPr>
                <w:color w:val="auto"/>
              </w:rPr>
            </w:pPr>
            <w:r>
              <w:rPr>
                <w:rFonts w:hint="eastAsia"/>
                <w:color w:val="auto"/>
              </w:rPr>
              <w:t>GB 4706.1-2005</w:t>
            </w:r>
          </w:p>
        </w:tc>
      </w:tr>
      <w:tr w14:paraId="747C7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2E7C7B5D">
            <w:pPr>
              <w:pStyle w:val="7"/>
              <w:spacing w:before="66" w:line="189" w:lineRule="auto"/>
              <w:ind w:left="428"/>
              <w:jc w:val="both"/>
              <w:rPr>
                <w:color w:val="auto"/>
              </w:rPr>
            </w:pPr>
            <w:r>
              <w:rPr>
                <w:color w:val="auto"/>
              </w:rPr>
              <w:t>3</w:t>
            </w:r>
          </w:p>
        </w:tc>
        <w:tc>
          <w:tcPr>
            <w:tcW w:w="3684" w:type="dxa"/>
            <w:vAlign w:val="center"/>
          </w:tcPr>
          <w:p w14:paraId="535A9FE7">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输入功率和电流</w:t>
            </w:r>
            <w:bookmarkStart w:id="0" w:name="_GoBack"/>
            <w:bookmarkEnd w:id="0"/>
          </w:p>
        </w:tc>
        <w:tc>
          <w:tcPr>
            <w:tcW w:w="3989" w:type="dxa"/>
            <w:vAlign w:val="center"/>
          </w:tcPr>
          <w:p w14:paraId="20B132F3">
            <w:pPr>
              <w:pStyle w:val="7"/>
              <w:spacing w:before="31" w:line="233" w:lineRule="auto"/>
              <w:jc w:val="center"/>
              <w:rPr>
                <w:color w:val="auto"/>
              </w:rPr>
            </w:pPr>
            <w:r>
              <w:rPr>
                <w:rFonts w:hint="eastAsia"/>
                <w:color w:val="auto"/>
              </w:rPr>
              <w:t>GB4706.1-2005</w:t>
            </w:r>
          </w:p>
        </w:tc>
      </w:tr>
      <w:tr w14:paraId="0F4EE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ACFE029">
            <w:pPr>
              <w:pStyle w:val="7"/>
              <w:spacing w:before="66" w:line="189" w:lineRule="auto"/>
              <w:ind w:left="423"/>
              <w:jc w:val="both"/>
              <w:rPr>
                <w:color w:val="auto"/>
              </w:rPr>
            </w:pPr>
            <w:r>
              <w:rPr>
                <w:color w:val="auto"/>
              </w:rPr>
              <w:t>4</w:t>
            </w:r>
          </w:p>
        </w:tc>
        <w:tc>
          <w:tcPr>
            <w:tcW w:w="3684" w:type="dxa"/>
            <w:vAlign w:val="center"/>
          </w:tcPr>
          <w:p w14:paraId="338E3157">
            <w:pPr>
              <w:pStyle w:val="7"/>
              <w:spacing w:before="31" w:line="228" w:lineRule="auto"/>
              <w:jc w:val="center"/>
              <w:rPr>
                <w:color w:val="auto"/>
                <w:spacing w:val="5"/>
              </w:rPr>
            </w:pPr>
            <w:r>
              <w:rPr>
                <w:rFonts w:hint="eastAsia"/>
                <w:color w:val="auto"/>
                <w:spacing w:val="5"/>
              </w:rPr>
              <w:t>内部布线</w:t>
            </w:r>
          </w:p>
        </w:tc>
        <w:tc>
          <w:tcPr>
            <w:tcW w:w="3989" w:type="dxa"/>
            <w:vAlign w:val="center"/>
          </w:tcPr>
          <w:p w14:paraId="15F6F419">
            <w:pPr>
              <w:pStyle w:val="7"/>
              <w:spacing w:before="31" w:line="233" w:lineRule="auto"/>
              <w:jc w:val="center"/>
              <w:rPr>
                <w:color w:val="auto"/>
              </w:rPr>
            </w:pPr>
            <w:r>
              <w:rPr>
                <w:rFonts w:hint="eastAsia"/>
                <w:color w:val="auto"/>
              </w:rPr>
              <w:t>GB4706.1-2005</w:t>
            </w:r>
          </w:p>
        </w:tc>
      </w:tr>
      <w:tr w14:paraId="5541A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EE0DC7">
            <w:pPr>
              <w:pStyle w:val="7"/>
              <w:spacing w:before="66" w:line="189" w:lineRule="auto"/>
              <w:ind w:left="423"/>
              <w:jc w:val="both"/>
              <w:rPr>
                <w:rFonts w:hint="eastAsia" w:eastAsia="宋体"/>
                <w:color w:val="auto"/>
                <w:lang w:val="en-US" w:eastAsia="zh-CN"/>
              </w:rPr>
            </w:pPr>
            <w:r>
              <w:rPr>
                <w:rFonts w:hint="eastAsia"/>
                <w:color w:val="auto"/>
                <w:lang w:val="en-US" w:eastAsia="zh-CN"/>
              </w:rPr>
              <w:t>5</w:t>
            </w:r>
          </w:p>
        </w:tc>
        <w:tc>
          <w:tcPr>
            <w:tcW w:w="3684" w:type="dxa"/>
            <w:vAlign w:val="center"/>
          </w:tcPr>
          <w:p w14:paraId="4D951551">
            <w:pPr>
              <w:pStyle w:val="7"/>
              <w:spacing w:before="31" w:line="228" w:lineRule="auto"/>
              <w:jc w:val="center"/>
              <w:rPr>
                <w:color w:val="auto"/>
                <w:spacing w:val="5"/>
              </w:rPr>
            </w:pPr>
            <w:r>
              <w:rPr>
                <w:rFonts w:hint="eastAsia"/>
                <w:color w:val="auto"/>
                <w:spacing w:val="5"/>
              </w:rPr>
              <w:t>电源连接和外部软线</w:t>
            </w:r>
          </w:p>
        </w:tc>
        <w:tc>
          <w:tcPr>
            <w:tcW w:w="3989" w:type="dxa"/>
            <w:vAlign w:val="center"/>
          </w:tcPr>
          <w:p w14:paraId="6C36CB1F">
            <w:pPr>
              <w:pStyle w:val="7"/>
              <w:spacing w:before="31" w:line="233" w:lineRule="auto"/>
              <w:jc w:val="center"/>
              <w:rPr>
                <w:color w:val="auto"/>
              </w:rPr>
            </w:pPr>
            <w:r>
              <w:rPr>
                <w:rFonts w:hint="eastAsia"/>
                <w:color w:val="auto"/>
              </w:rPr>
              <w:t>GB 4706.1-2005</w:t>
            </w:r>
          </w:p>
        </w:tc>
      </w:tr>
      <w:tr w14:paraId="4392A9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C9DEC84">
            <w:pPr>
              <w:pStyle w:val="7"/>
              <w:spacing w:before="66" w:line="189" w:lineRule="auto"/>
              <w:ind w:left="423"/>
              <w:jc w:val="both"/>
              <w:rPr>
                <w:rFonts w:hint="eastAsia" w:eastAsia="宋体"/>
                <w:color w:val="auto"/>
                <w:lang w:val="en-US" w:eastAsia="zh-CN"/>
              </w:rPr>
            </w:pPr>
            <w:r>
              <w:rPr>
                <w:rFonts w:hint="eastAsia"/>
                <w:color w:val="auto"/>
                <w:lang w:val="en-US" w:eastAsia="zh-CN"/>
              </w:rPr>
              <w:t>6</w:t>
            </w:r>
          </w:p>
        </w:tc>
        <w:tc>
          <w:tcPr>
            <w:tcW w:w="3684" w:type="dxa"/>
            <w:vAlign w:val="center"/>
          </w:tcPr>
          <w:p w14:paraId="484AAA6A">
            <w:pPr>
              <w:pStyle w:val="7"/>
              <w:spacing w:before="31" w:line="228" w:lineRule="auto"/>
              <w:jc w:val="center"/>
              <w:rPr>
                <w:color w:val="auto"/>
                <w:spacing w:val="5"/>
              </w:rPr>
            </w:pPr>
            <w:r>
              <w:rPr>
                <w:rFonts w:hint="eastAsia"/>
                <w:color w:val="auto"/>
                <w:spacing w:val="5"/>
              </w:rPr>
              <w:t>机械强度</w:t>
            </w:r>
          </w:p>
        </w:tc>
        <w:tc>
          <w:tcPr>
            <w:tcW w:w="3989" w:type="dxa"/>
            <w:vAlign w:val="center"/>
          </w:tcPr>
          <w:p w14:paraId="21A7DC5F">
            <w:pPr>
              <w:pStyle w:val="7"/>
              <w:spacing w:before="31" w:line="233" w:lineRule="auto"/>
              <w:jc w:val="center"/>
              <w:rPr>
                <w:color w:val="auto"/>
              </w:rPr>
            </w:pPr>
            <w:r>
              <w:rPr>
                <w:rFonts w:hint="eastAsia"/>
                <w:color w:val="auto"/>
              </w:rPr>
              <w:t>GB 4706.1-2005</w:t>
            </w:r>
          </w:p>
        </w:tc>
      </w:tr>
      <w:tr w14:paraId="30BA8B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2C8DC5C">
            <w:pPr>
              <w:pStyle w:val="7"/>
              <w:spacing w:before="66" w:line="189" w:lineRule="auto"/>
              <w:ind w:left="423"/>
              <w:jc w:val="both"/>
              <w:rPr>
                <w:rFonts w:hint="eastAsia" w:eastAsia="宋体"/>
                <w:color w:val="auto"/>
                <w:lang w:val="en-US" w:eastAsia="zh-CN"/>
              </w:rPr>
            </w:pPr>
            <w:r>
              <w:rPr>
                <w:rFonts w:hint="eastAsia"/>
                <w:color w:val="auto"/>
                <w:lang w:val="en-US" w:eastAsia="zh-CN"/>
              </w:rPr>
              <w:t>7</w:t>
            </w:r>
          </w:p>
        </w:tc>
        <w:tc>
          <w:tcPr>
            <w:tcW w:w="3684" w:type="dxa"/>
            <w:vAlign w:val="center"/>
          </w:tcPr>
          <w:p w14:paraId="6BED2136">
            <w:pPr>
              <w:pStyle w:val="7"/>
              <w:spacing w:before="31" w:line="228" w:lineRule="auto"/>
              <w:jc w:val="center"/>
              <w:rPr>
                <w:color w:val="auto"/>
                <w:spacing w:val="5"/>
              </w:rPr>
            </w:pPr>
            <w:r>
              <w:rPr>
                <w:rFonts w:hint="eastAsia"/>
                <w:color w:val="auto"/>
                <w:spacing w:val="5"/>
              </w:rPr>
              <w:t>工作温度下的泄漏电流</w:t>
            </w:r>
          </w:p>
        </w:tc>
        <w:tc>
          <w:tcPr>
            <w:tcW w:w="3989" w:type="dxa"/>
            <w:vAlign w:val="center"/>
          </w:tcPr>
          <w:p w14:paraId="791EBAA6">
            <w:pPr>
              <w:pStyle w:val="7"/>
              <w:spacing w:before="31" w:line="233" w:lineRule="auto"/>
              <w:jc w:val="center"/>
              <w:rPr>
                <w:color w:val="auto"/>
              </w:rPr>
            </w:pPr>
            <w:r>
              <w:rPr>
                <w:rFonts w:hint="eastAsia"/>
                <w:color w:val="auto"/>
              </w:rPr>
              <w:t>GB/T12113-2003</w:t>
            </w:r>
          </w:p>
        </w:tc>
      </w:tr>
      <w:tr w14:paraId="06661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4A78F5B5">
            <w:pPr>
              <w:pStyle w:val="7"/>
              <w:spacing w:before="66" w:line="189" w:lineRule="auto"/>
              <w:ind w:left="423"/>
              <w:jc w:val="both"/>
              <w:rPr>
                <w:rFonts w:hint="eastAsia" w:eastAsia="宋体"/>
                <w:color w:val="auto"/>
                <w:lang w:val="en-US" w:eastAsia="zh-CN"/>
              </w:rPr>
            </w:pPr>
            <w:r>
              <w:rPr>
                <w:rFonts w:hint="eastAsia"/>
                <w:color w:val="auto"/>
                <w:lang w:val="en-US" w:eastAsia="zh-CN"/>
              </w:rPr>
              <w:t>8</w:t>
            </w:r>
          </w:p>
        </w:tc>
        <w:tc>
          <w:tcPr>
            <w:tcW w:w="3684" w:type="dxa"/>
            <w:vAlign w:val="center"/>
          </w:tcPr>
          <w:p w14:paraId="77F72750">
            <w:pPr>
              <w:pStyle w:val="7"/>
              <w:spacing w:before="31" w:line="228" w:lineRule="auto"/>
              <w:jc w:val="center"/>
              <w:rPr>
                <w:color w:val="auto"/>
                <w:spacing w:val="5"/>
              </w:rPr>
            </w:pPr>
            <w:r>
              <w:rPr>
                <w:rFonts w:hint="eastAsia"/>
                <w:color w:val="auto"/>
                <w:spacing w:val="5"/>
              </w:rPr>
              <w:t>稳定性和机械危险</w:t>
            </w:r>
          </w:p>
        </w:tc>
        <w:tc>
          <w:tcPr>
            <w:tcW w:w="3989" w:type="dxa"/>
            <w:vAlign w:val="center"/>
          </w:tcPr>
          <w:p w14:paraId="118066E3">
            <w:pPr>
              <w:pStyle w:val="7"/>
              <w:spacing w:before="31" w:line="233" w:lineRule="auto"/>
              <w:jc w:val="center"/>
              <w:rPr>
                <w:color w:val="auto"/>
              </w:rPr>
            </w:pPr>
            <w:r>
              <w:rPr>
                <w:rFonts w:hint="eastAsia"/>
                <w:color w:val="auto"/>
              </w:rPr>
              <w:t>GB 4706.1-2005</w:t>
            </w:r>
          </w:p>
        </w:tc>
      </w:tr>
      <w:tr w14:paraId="040E2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2B38DCC">
            <w:pPr>
              <w:pStyle w:val="7"/>
              <w:spacing w:before="66" w:line="189" w:lineRule="auto"/>
              <w:ind w:left="423"/>
              <w:jc w:val="both"/>
              <w:rPr>
                <w:rFonts w:hint="eastAsia" w:eastAsia="宋体"/>
                <w:color w:val="auto"/>
                <w:lang w:val="en-US" w:eastAsia="zh-CN"/>
              </w:rPr>
            </w:pPr>
            <w:r>
              <w:rPr>
                <w:rFonts w:hint="eastAsia"/>
                <w:color w:val="auto"/>
                <w:lang w:val="en-US" w:eastAsia="zh-CN"/>
              </w:rPr>
              <w:t>9</w:t>
            </w:r>
          </w:p>
        </w:tc>
        <w:tc>
          <w:tcPr>
            <w:tcW w:w="3684" w:type="dxa"/>
            <w:vAlign w:val="center"/>
          </w:tcPr>
          <w:p w14:paraId="6BA3943C">
            <w:pPr>
              <w:pStyle w:val="7"/>
              <w:spacing w:before="31" w:line="228" w:lineRule="auto"/>
              <w:jc w:val="center"/>
              <w:rPr>
                <w:rFonts w:hint="eastAsia"/>
                <w:color w:val="auto"/>
                <w:spacing w:val="5"/>
              </w:rPr>
            </w:pPr>
            <w:r>
              <w:rPr>
                <w:rFonts w:hint="eastAsia"/>
                <w:color w:val="auto"/>
                <w:spacing w:val="5"/>
              </w:rPr>
              <w:t>接地措施</w:t>
            </w:r>
          </w:p>
        </w:tc>
        <w:tc>
          <w:tcPr>
            <w:tcW w:w="3989" w:type="dxa"/>
            <w:vAlign w:val="center"/>
          </w:tcPr>
          <w:p w14:paraId="289C4B82">
            <w:pPr>
              <w:pStyle w:val="7"/>
              <w:spacing w:before="31" w:line="233" w:lineRule="auto"/>
              <w:jc w:val="center"/>
              <w:rPr>
                <w:color w:val="auto"/>
              </w:rPr>
            </w:pPr>
            <w:r>
              <w:rPr>
                <w:rFonts w:hint="eastAsia"/>
                <w:color w:val="auto"/>
              </w:rPr>
              <w:t>GB 4706.1-2005</w:t>
            </w:r>
          </w:p>
        </w:tc>
      </w:tr>
    </w:tbl>
    <w:p w14:paraId="29BF3A58">
      <w:pPr>
        <w:pStyle w:val="2"/>
        <w:spacing w:before="257" w:line="227" w:lineRule="auto"/>
        <w:rPr>
          <w:rFonts w:hint="eastAsia"/>
          <w:b/>
          <w:bCs/>
          <w:spacing w:val="6"/>
        </w:rPr>
      </w:pPr>
    </w:p>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4DBC32D0">
      <w:pPr>
        <w:pStyle w:val="2"/>
        <w:spacing w:before="162" w:line="227" w:lineRule="auto"/>
        <w:ind w:left="415"/>
        <w:rPr>
          <w:rFonts w:hint="default"/>
          <w:spacing w:val="6"/>
          <w:lang w:val="en-US" w:eastAsia="zh-CN"/>
        </w:rPr>
      </w:pPr>
      <w:r>
        <w:rPr>
          <w:rFonts w:hint="eastAsia"/>
          <w:spacing w:val="6"/>
        </w:rPr>
        <w:t>GB 4706.1-2005</w:t>
      </w:r>
      <w:r>
        <w:rPr>
          <w:rFonts w:hint="eastAsia"/>
          <w:spacing w:val="6"/>
          <w:lang w:val="en-US" w:eastAsia="zh-CN"/>
        </w:rPr>
        <w:t xml:space="preserve"> 家用和类似用途电器的安全 第1部分：通用要求</w:t>
      </w:r>
    </w:p>
    <w:p w14:paraId="67DF3C2F">
      <w:pPr>
        <w:pStyle w:val="2"/>
        <w:spacing w:before="162" w:line="227" w:lineRule="auto"/>
        <w:ind w:left="415"/>
        <w:rPr>
          <w:rFonts w:hint="default"/>
          <w:spacing w:val="6"/>
          <w:lang w:val="en-US" w:eastAsia="zh-CN"/>
        </w:rPr>
      </w:pPr>
      <w:r>
        <w:rPr>
          <w:rFonts w:hint="eastAsia"/>
          <w:spacing w:val="6"/>
          <w:lang w:val="en-US" w:eastAsia="zh-CN"/>
        </w:rPr>
        <w:t>GB 4706.8-2008 家用和类似用途电器的安全 电热毯、电热垫及类似柔性发热器具的特殊要求</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E55ECD"/>
    <w:rsid w:val="00F72CA9"/>
    <w:rsid w:val="01B42948"/>
    <w:rsid w:val="01B841E6"/>
    <w:rsid w:val="01DD1E9F"/>
    <w:rsid w:val="02060BA3"/>
    <w:rsid w:val="029F53A6"/>
    <w:rsid w:val="03280EF8"/>
    <w:rsid w:val="03E272F9"/>
    <w:rsid w:val="03E312C3"/>
    <w:rsid w:val="065232E5"/>
    <w:rsid w:val="06530982"/>
    <w:rsid w:val="069F5975"/>
    <w:rsid w:val="06B036DE"/>
    <w:rsid w:val="06DF3FC3"/>
    <w:rsid w:val="08BA6A96"/>
    <w:rsid w:val="08E91129"/>
    <w:rsid w:val="0970184A"/>
    <w:rsid w:val="09C120A6"/>
    <w:rsid w:val="09E518F1"/>
    <w:rsid w:val="0AF142C5"/>
    <w:rsid w:val="0B2D79F3"/>
    <w:rsid w:val="0B3D39AE"/>
    <w:rsid w:val="0B9A495D"/>
    <w:rsid w:val="0C970E9C"/>
    <w:rsid w:val="0CE045F1"/>
    <w:rsid w:val="0CF462EF"/>
    <w:rsid w:val="0D474670"/>
    <w:rsid w:val="0D8633EB"/>
    <w:rsid w:val="0DE34399"/>
    <w:rsid w:val="0E664FCA"/>
    <w:rsid w:val="10795489"/>
    <w:rsid w:val="115F642C"/>
    <w:rsid w:val="120668A8"/>
    <w:rsid w:val="12816876"/>
    <w:rsid w:val="12BE53D5"/>
    <w:rsid w:val="131119A8"/>
    <w:rsid w:val="13166BC0"/>
    <w:rsid w:val="13985C26"/>
    <w:rsid w:val="14172FEE"/>
    <w:rsid w:val="142E0338"/>
    <w:rsid w:val="144813FA"/>
    <w:rsid w:val="14BF71E2"/>
    <w:rsid w:val="14F21366"/>
    <w:rsid w:val="152F6116"/>
    <w:rsid w:val="16161084"/>
    <w:rsid w:val="1619048D"/>
    <w:rsid w:val="16557DFE"/>
    <w:rsid w:val="16BA4105"/>
    <w:rsid w:val="170535D2"/>
    <w:rsid w:val="17083677"/>
    <w:rsid w:val="17E31439"/>
    <w:rsid w:val="192919D6"/>
    <w:rsid w:val="196C5B8A"/>
    <w:rsid w:val="1A930EF5"/>
    <w:rsid w:val="1B3A10C5"/>
    <w:rsid w:val="1B3C158C"/>
    <w:rsid w:val="1C0E117B"/>
    <w:rsid w:val="1CC25AC1"/>
    <w:rsid w:val="1CFA34AD"/>
    <w:rsid w:val="1D0165EA"/>
    <w:rsid w:val="1D1722B1"/>
    <w:rsid w:val="1D291FE4"/>
    <w:rsid w:val="1D3D0010"/>
    <w:rsid w:val="1D4604A0"/>
    <w:rsid w:val="1D8965DF"/>
    <w:rsid w:val="1E3C0752"/>
    <w:rsid w:val="1EE2244B"/>
    <w:rsid w:val="202D5948"/>
    <w:rsid w:val="205C7FDB"/>
    <w:rsid w:val="20E97AC1"/>
    <w:rsid w:val="210F504D"/>
    <w:rsid w:val="219519F6"/>
    <w:rsid w:val="221A1EFC"/>
    <w:rsid w:val="22737F8A"/>
    <w:rsid w:val="22743D02"/>
    <w:rsid w:val="22794E74"/>
    <w:rsid w:val="237A0EA4"/>
    <w:rsid w:val="23AE0B4E"/>
    <w:rsid w:val="23E40A13"/>
    <w:rsid w:val="24166A2A"/>
    <w:rsid w:val="246833F2"/>
    <w:rsid w:val="247973AD"/>
    <w:rsid w:val="24BA341D"/>
    <w:rsid w:val="24D32F62"/>
    <w:rsid w:val="24E62827"/>
    <w:rsid w:val="25173549"/>
    <w:rsid w:val="26C62652"/>
    <w:rsid w:val="27C04539"/>
    <w:rsid w:val="284D4FC9"/>
    <w:rsid w:val="288527C5"/>
    <w:rsid w:val="28D9041B"/>
    <w:rsid w:val="29431EF3"/>
    <w:rsid w:val="29455AB0"/>
    <w:rsid w:val="29D22A57"/>
    <w:rsid w:val="2A17569E"/>
    <w:rsid w:val="2A622692"/>
    <w:rsid w:val="2A9D36CA"/>
    <w:rsid w:val="2BA72A52"/>
    <w:rsid w:val="2BC41856"/>
    <w:rsid w:val="2BF37A45"/>
    <w:rsid w:val="2C73502A"/>
    <w:rsid w:val="2CB52F4D"/>
    <w:rsid w:val="2CB82A3D"/>
    <w:rsid w:val="2CCE2260"/>
    <w:rsid w:val="2D0F4C2F"/>
    <w:rsid w:val="2D340315"/>
    <w:rsid w:val="2DE33AEA"/>
    <w:rsid w:val="2E19342C"/>
    <w:rsid w:val="2E4B3B69"/>
    <w:rsid w:val="2EFC30B5"/>
    <w:rsid w:val="2F430CE4"/>
    <w:rsid w:val="2FAB0637"/>
    <w:rsid w:val="2FF31CCF"/>
    <w:rsid w:val="304C3BC8"/>
    <w:rsid w:val="309C68FD"/>
    <w:rsid w:val="30A6777C"/>
    <w:rsid w:val="30DC13F0"/>
    <w:rsid w:val="316771C6"/>
    <w:rsid w:val="32821B23"/>
    <w:rsid w:val="328C0BF4"/>
    <w:rsid w:val="32A23F73"/>
    <w:rsid w:val="32E46701"/>
    <w:rsid w:val="33835B53"/>
    <w:rsid w:val="33CF0D98"/>
    <w:rsid w:val="33F407FF"/>
    <w:rsid w:val="3445105A"/>
    <w:rsid w:val="3498034E"/>
    <w:rsid w:val="35411821"/>
    <w:rsid w:val="35B244CD"/>
    <w:rsid w:val="35D408E8"/>
    <w:rsid w:val="362D624A"/>
    <w:rsid w:val="36617CA1"/>
    <w:rsid w:val="36EE7787"/>
    <w:rsid w:val="37F30DCD"/>
    <w:rsid w:val="399D5494"/>
    <w:rsid w:val="3A3D6694"/>
    <w:rsid w:val="3AE80991"/>
    <w:rsid w:val="3B1B2B15"/>
    <w:rsid w:val="3B4E6A46"/>
    <w:rsid w:val="3B5953EB"/>
    <w:rsid w:val="3C9012E0"/>
    <w:rsid w:val="3CA84720"/>
    <w:rsid w:val="3CE533DA"/>
    <w:rsid w:val="3D2A5291"/>
    <w:rsid w:val="3D8449A1"/>
    <w:rsid w:val="3D8E5820"/>
    <w:rsid w:val="3E2B12C1"/>
    <w:rsid w:val="3E762AD6"/>
    <w:rsid w:val="3F20694C"/>
    <w:rsid w:val="3F604F9A"/>
    <w:rsid w:val="40112738"/>
    <w:rsid w:val="40644F5E"/>
    <w:rsid w:val="41D028AB"/>
    <w:rsid w:val="41FA7928"/>
    <w:rsid w:val="421B33FA"/>
    <w:rsid w:val="4258464E"/>
    <w:rsid w:val="438307EA"/>
    <w:rsid w:val="43F565F9"/>
    <w:rsid w:val="44250560"/>
    <w:rsid w:val="44EE3048"/>
    <w:rsid w:val="455F7AA2"/>
    <w:rsid w:val="45E5269D"/>
    <w:rsid w:val="45EA3612"/>
    <w:rsid w:val="45F12DF0"/>
    <w:rsid w:val="46036001"/>
    <w:rsid w:val="46095A4C"/>
    <w:rsid w:val="460A3EB2"/>
    <w:rsid w:val="467E0A66"/>
    <w:rsid w:val="47460F19"/>
    <w:rsid w:val="47541D2E"/>
    <w:rsid w:val="47A143A2"/>
    <w:rsid w:val="48000D05"/>
    <w:rsid w:val="48093869"/>
    <w:rsid w:val="48D662CD"/>
    <w:rsid w:val="4A6022F2"/>
    <w:rsid w:val="4A8835F7"/>
    <w:rsid w:val="4ACF1226"/>
    <w:rsid w:val="4B1F03FF"/>
    <w:rsid w:val="4B685902"/>
    <w:rsid w:val="4B6B53F2"/>
    <w:rsid w:val="4C12586E"/>
    <w:rsid w:val="4C3C364B"/>
    <w:rsid w:val="4D243AAB"/>
    <w:rsid w:val="4D3F08E5"/>
    <w:rsid w:val="4D9329DF"/>
    <w:rsid w:val="4DEB45C9"/>
    <w:rsid w:val="4EAE534F"/>
    <w:rsid w:val="4EBB043F"/>
    <w:rsid w:val="4F5543EF"/>
    <w:rsid w:val="50083210"/>
    <w:rsid w:val="51D57A6A"/>
    <w:rsid w:val="52614E59"/>
    <w:rsid w:val="52816C33"/>
    <w:rsid w:val="53226CDE"/>
    <w:rsid w:val="541A1764"/>
    <w:rsid w:val="54646E83"/>
    <w:rsid w:val="54A31759"/>
    <w:rsid w:val="54B17344"/>
    <w:rsid w:val="555962BC"/>
    <w:rsid w:val="558570B1"/>
    <w:rsid w:val="56064695"/>
    <w:rsid w:val="56464A92"/>
    <w:rsid w:val="56CB4F97"/>
    <w:rsid w:val="56EC4AD0"/>
    <w:rsid w:val="573B211D"/>
    <w:rsid w:val="57E84CDE"/>
    <w:rsid w:val="591C1ADA"/>
    <w:rsid w:val="5976568E"/>
    <w:rsid w:val="59B47F65"/>
    <w:rsid w:val="5A7871E4"/>
    <w:rsid w:val="5C451348"/>
    <w:rsid w:val="5C8207EE"/>
    <w:rsid w:val="5C983B6D"/>
    <w:rsid w:val="5CB70498"/>
    <w:rsid w:val="5D107BA8"/>
    <w:rsid w:val="5DB619E8"/>
    <w:rsid w:val="5E930A90"/>
    <w:rsid w:val="5FEA2932"/>
    <w:rsid w:val="6009588A"/>
    <w:rsid w:val="601F611C"/>
    <w:rsid w:val="60455DBA"/>
    <w:rsid w:val="605204D7"/>
    <w:rsid w:val="6162299C"/>
    <w:rsid w:val="624F1172"/>
    <w:rsid w:val="62791D4B"/>
    <w:rsid w:val="62D52513"/>
    <w:rsid w:val="6347009B"/>
    <w:rsid w:val="63E853DA"/>
    <w:rsid w:val="640F6E0B"/>
    <w:rsid w:val="64630F05"/>
    <w:rsid w:val="646A2293"/>
    <w:rsid w:val="656F5AFD"/>
    <w:rsid w:val="65CD0D2C"/>
    <w:rsid w:val="65DA51F7"/>
    <w:rsid w:val="65E120E1"/>
    <w:rsid w:val="65F362B8"/>
    <w:rsid w:val="660B53B0"/>
    <w:rsid w:val="66AD46B9"/>
    <w:rsid w:val="674F5770"/>
    <w:rsid w:val="67513297"/>
    <w:rsid w:val="67696832"/>
    <w:rsid w:val="67DB0DB2"/>
    <w:rsid w:val="6817003C"/>
    <w:rsid w:val="6897117D"/>
    <w:rsid w:val="69112CDD"/>
    <w:rsid w:val="69790883"/>
    <w:rsid w:val="69DA57C5"/>
    <w:rsid w:val="6A020517"/>
    <w:rsid w:val="6A0B3BD1"/>
    <w:rsid w:val="6A876FCF"/>
    <w:rsid w:val="6AA61B4B"/>
    <w:rsid w:val="6B7C465A"/>
    <w:rsid w:val="6B8F25DF"/>
    <w:rsid w:val="6BBB6967"/>
    <w:rsid w:val="6D3C6797"/>
    <w:rsid w:val="6DEA1D4F"/>
    <w:rsid w:val="6E8126B3"/>
    <w:rsid w:val="6FA67EF8"/>
    <w:rsid w:val="712612F0"/>
    <w:rsid w:val="715F4802"/>
    <w:rsid w:val="71D92806"/>
    <w:rsid w:val="71FE226D"/>
    <w:rsid w:val="72C40DC1"/>
    <w:rsid w:val="72DB610A"/>
    <w:rsid w:val="72E8042D"/>
    <w:rsid w:val="72EB459F"/>
    <w:rsid w:val="733A1083"/>
    <w:rsid w:val="73F2195D"/>
    <w:rsid w:val="740C6EC3"/>
    <w:rsid w:val="74936C9D"/>
    <w:rsid w:val="75DB4D9F"/>
    <w:rsid w:val="75F220E9"/>
    <w:rsid w:val="767825EE"/>
    <w:rsid w:val="76A5715B"/>
    <w:rsid w:val="77400C32"/>
    <w:rsid w:val="77BE04D4"/>
    <w:rsid w:val="782D7408"/>
    <w:rsid w:val="787F1730"/>
    <w:rsid w:val="78B74F24"/>
    <w:rsid w:val="790939D1"/>
    <w:rsid w:val="79286D28"/>
    <w:rsid w:val="79AC0800"/>
    <w:rsid w:val="7A0B3779"/>
    <w:rsid w:val="7AC8166A"/>
    <w:rsid w:val="7B1A3007"/>
    <w:rsid w:val="7B1D7C08"/>
    <w:rsid w:val="7B42766E"/>
    <w:rsid w:val="7BA14395"/>
    <w:rsid w:val="7C1D7794"/>
    <w:rsid w:val="7CB41EA6"/>
    <w:rsid w:val="7D2232B3"/>
    <w:rsid w:val="7ED405DD"/>
    <w:rsid w:val="7F6000C3"/>
    <w:rsid w:val="7F6A0F42"/>
    <w:rsid w:val="7F800765"/>
    <w:rsid w:val="7F8A5E48"/>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871</Words>
  <Characters>1011</Characters>
  <TotalTime>24</TotalTime>
  <ScaleCrop>false</ScaleCrop>
  <LinksUpToDate>false</LinksUpToDate>
  <CharactersWithSpaces>1042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2026-03-12T09:29:00Z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