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val="0"/>
          <w:bCs w:val="0"/>
          <w:color w:val="000000"/>
          <w:sz w:val="28"/>
          <w:szCs w:val="28"/>
        </w:rPr>
      </w:pPr>
      <w:r>
        <w:rPr>
          <w:rFonts w:hint="eastAsia" w:ascii="宋体" w:hAnsi="宋体" w:eastAsia="宋体" w:cs="宋体"/>
          <w:color w:val="000000"/>
          <w:sz w:val="28"/>
          <w:szCs w:val="28"/>
          <w:lang w:val="en-US" w:eastAsia="zh-CN"/>
        </w:rPr>
        <w:t>电动自行车</w:t>
      </w:r>
      <w:r>
        <w:rPr>
          <w:rFonts w:hint="eastAsia" w:ascii="宋体" w:hAnsi="宋体" w:eastAsia="宋体" w:cs="宋体"/>
          <w:b w:val="0"/>
          <w:bCs w:val="0"/>
          <w:color w:val="000000"/>
          <w:sz w:val="28"/>
          <w:szCs w:val="28"/>
        </w:rPr>
        <w:t>产品质量监督抽查实施细则</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1 抽样方法</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以随机抽样的方式</w:t>
      </w:r>
      <w:r>
        <w:rPr>
          <w:rFonts w:hint="eastAsia" w:ascii="宋体" w:hAnsi="宋体" w:eastAsia="宋体" w:cs="宋体"/>
          <w:color w:val="000000"/>
          <w:sz w:val="28"/>
          <w:szCs w:val="28"/>
          <w:lang w:eastAsia="zh-CN"/>
        </w:rPr>
        <w:t>抽取检验样品和备用样品</w:t>
      </w:r>
      <w:r>
        <w:rPr>
          <w:rFonts w:hint="eastAsia" w:ascii="宋体" w:hAnsi="宋体" w:eastAsia="宋体" w:cs="宋体"/>
          <w:sz w:val="28"/>
          <w:szCs w:val="28"/>
          <w:lang w:val="en-US" w:eastAsia="zh-CN"/>
        </w:rPr>
        <w:t>。</w:t>
      </w:r>
    </w:p>
    <w:p>
      <w:pPr>
        <w:keepNext w:val="0"/>
        <w:keepLines w:val="0"/>
        <w:pageBreakBefore w:val="0"/>
        <w:kinsoku/>
        <w:wordWrap/>
        <w:overflowPunct/>
        <w:topLinePunct w:val="0"/>
        <w:autoSpaceDE/>
        <w:autoSpaceDN/>
        <w:bidi w:val="0"/>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每批次产品抽取样品</w:t>
      </w:r>
      <w:r>
        <w:rPr>
          <w:rFonts w:hint="eastAsia" w:ascii="宋体" w:hAnsi="宋体" w:eastAsia="宋体" w:cs="宋体"/>
          <w:sz w:val="28"/>
          <w:szCs w:val="28"/>
          <w:lang w:val="en-US" w:eastAsia="zh-CN"/>
        </w:rPr>
        <w:t>2</w:t>
      </w:r>
      <w:r>
        <w:rPr>
          <w:rFonts w:hint="eastAsia" w:ascii="宋体" w:hAnsi="宋体" w:eastAsia="宋体" w:cs="宋体"/>
          <w:sz w:val="28"/>
          <w:szCs w:val="28"/>
        </w:rPr>
        <w:t>台，其中</w:t>
      </w:r>
      <w:r>
        <w:rPr>
          <w:rFonts w:hint="eastAsia" w:ascii="宋体" w:hAnsi="宋体" w:eastAsia="宋体" w:cs="宋体"/>
          <w:sz w:val="28"/>
          <w:szCs w:val="28"/>
          <w:lang w:val="en-US" w:eastAsia="zh-CN"/>
        </w:rPr>
        <w:t>1</w:t>
      </w:r>
      <w:r>
        <w:rPr>
          <w:rFonts w:hint="eastAsia" w:ascii="宋体" w:hAnsi="宋体" w:eastAsia="宋体" w:cs="宋体"/>
          <w:sz w:val="28"/>
          <w:szCs w:val="28"/>
        </w:rPr>
        <w:t>台作为检验样品，</w:t>
      </w:r>
      <w:r>
        <w:rPr>
          <w:rFonts w:hint="eastAsia" w:ascii="宋体" w:hAnsi="宋体" w:eastAsia="宋体" w:cs="宋体"/>
          <w:sz w:val="28"/>
          <w:szCs w:val="28"/>
          <w:lang w:val="en-US" w:eastAsia="zh-CN"/>
        </w:rPr>
        <w:t>1</w:t>
      </w:r>
      <w:r>
        <w:rPr>
          <w:rFonts w:hint="eastAsia" w:ascii="宋体" w:hAnsi="宋体" w:eastAsia="宋体" w:cs="宋体"/>
          <w:sz w:val="28"/>
          <w:szCs w:val="28"/>
        </w:rPr>
        <w:t>台作为备用样品。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 xml:space="preserve"> 检验依据</w:t>
      </w:r>
    </w:p>
    <w:p>
      <w:pPr>
        <w:keepNext w:val="0"/>
        <w:keepLines w:val="0"/>
        <w:pageBreakBefore w:val="0"/>
        <w:widowControl w:val="0"/>
        <w:kinsoku/>
        <w:wordWrap/>
        <w:overflowPunct/>
        <w:topLinePunct w:val="0"/>
        <w:autoSpaceDE/>
        <w:autoSpaceDN/>
        <w:bidi w:val="0"/>
        <w:adjustRightInd w:val="0"/>
        <w:snapToGrid w:val="0"/>
        <w:spacing w:line="360" w:lineRule="auto"/>
        <w:ind w:firstLine="557" w:firstLineChars="199"/>
        <w:jc w:val="center"/>
        <w:textAlignment w:val="auto"/>
        <w:rPr>
          <w:rFonts w:hint="eastAsia" w:ascii="宋体" w:hAnsi="宋体" w:eastAsia="宋体" w:cs="宋体"/>
          <w:sz w:val="28"/>
          <w:szCs w:val="28"/>
        </w:rPr>
      </w:pPr>
      <w:r>
        <w:rPr>
          <w:rFonts w:hint="eastAsia" w:ascii="宋体" w:hAnsi="宋体" w:eastAsia="宋体" w:cs="宋体"/>
          <w:color w:val="000000"/>
          <w:sz w:val="28"/>
          <w:szCs w:val="28"/>
        </w:rPr>
        <w:t>表1</w:t>
      </w:r>
      <w:r>
        <w:rPr>
          <w:rFonts w:hint="eastAsia" w:ascii="宋体" w:hAnsi="宋体" w:eastAsia="宋体" w:cs="宋体"/>
          <w:color w:val="000000"/>
          <w:sz w:val="28"/>
          <w:szCs w:val="28"/>
          <w:lang w:val="en-US" w:eastAsia="zh-CN"/>
        </w:rPr>
        <w:t xml:space="preserve"> 电动自行车</w:t>
      </w:r>
      <w:r>
        <w:rPr>
          <w:rFonts w:hint="eastAsia" w:ascii="宋体" w:hAnsi="宋体" w:eastAsia="宋体" w:cs="宋体"/>
          <w:color w:val="000000"/>
          <w:sz w:val="28"/>
          <w:szCs w:val="28"/>
        </w:rPr>
        <w:t>检验项目</w:t>
      </w:r>
    </w:p>
    <w:tbl>
      <w:tblPr>
        <w:tblStyle w:val="9"/>
        <w:tblW w:w="9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8"/>
        <w:gridCol w:w="3582"/>
        <w:gridCol w:w="3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tblHeader/>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序号</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检验项目</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车速限值</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制动性能</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3565-2005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整车质量</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脚踏骑行能力</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尺寸限值</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脚蹬间隙</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3565-2005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突出物</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3565-2005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8</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防碰擦</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车速提示音</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10 </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把立管安全线</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3565-2005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11</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鞍管安全线</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3565-2005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宋体" w:hAnsi="宋体" w:eastAsia="宋体" w:cs="宋体"/>
                <w:sz w:val="28"/>
                <w:szCs w:val="28"/>
                <w:lang w:val="en-US" w:eastAsia="zh-CN"/>
              </w:rPr>
            </w:pPr>
            <w:bookmarkStart w:id="0" w:name="_GoBack" w:colFirst="2" w:colLast="2"/>
            <w:r>
              <w:rPr>
                <w:rFonts w:hint="eastAsia" w:ascii="宋体" w:hAnsi="宋体" w:cs="宋体"/>
                <w:sz w:val="28"/>
                <w:szCs w:val="28"/>
                <w:lang w:val="en-US" w:eastAsia="zh-CN"/>
              </w:rPr>
              <w:t>12</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反射器</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13</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鸣号装置</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14</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导线布线安装</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15</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制动断电功能</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17761-2018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3" w:hRule="atLeast"/>
          <w:jc w:val="center"/>
        </w:trPr>
        <w:tc>
          <w:tcPr>
            <w:tcW w:w="1758"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16</w:t>
            </w:r>
          </w:p>
        </w:tc>
        <w:tc>
          <w:tcPr>
            <w:tcW w:w="358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蓄电池的最大输出电压</w:t>
            </w:r>
          </w:p>
        </w:tc>
        <w:tc>
          <w:tcPr>
            <w:tcW w:w="3917"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GB 17761-2018</w:t>
            </w:r>
          </w:p>
        </w:tc>
      </w:tr>
      <w:bookmarkEnd w:id="0"/>
    </w:tbl>
    <w:p>
      <w:pPr>
        <w:snapToGrid w:val="0"/>
        <w:spacing w:line="440" w:lineRule="exact"/>
        <w:ind w:firstLine="478" w:firstLineChars="171"/>
        <w:rPr>
          <w:rFonts w:hint="eastAsia" w:ascii="宋体" w:hAnsi="宋体" w:eastAsia="宋体" w:cs="宋体"/>
          <w:color w:val="000000"/>
          <w:sz w:val="28"/>
          <w:szCs w:val="28"/>
        </w:rPr>
      </w:pPr>
    </w:p>
    <w:p>
      <w:pPr>
        <w:snapToGrid w:val="0"/>
        <w:spacing w:line="440" w:lineRule="exact"/>
        <w:ind w:firstLine="478" w:firstLineChars="171"/>
        <w:rPr>
          <w:rFonts w:hint="eastAsia" w:ascii="宋体" w:hAnsi="宋体" w:eastAsia="宋体" w:cs="宋体"/>
          <w:color w:val="000000"/>
          <w:sz w:val="28"/>
          <w:szCs w:val="28"/>
        </w:rPr>
      </w:pPr>
      <w:r>
        <w:rPr>
          <w:rFonts w:hint="eastAsia" w:ascii="宋体" w:hAnsi="宋体" w:eastAsia="宋体" w:cs="宋体"/>
          <w:color w:val="000000"/>
          <w:sz w:val="28"/>
          <w:szCs w:val="28"/>
        </w:rPr>
        <w:t>注：执行企业标准、团体标准、地方标准的产品，检验项目参照上述内容执行。</w:t>
      </w:r>
    </w:p>
    <w:p>
      <w:pPr>
        <w:snapToGrid w:val="0"/>
        <w:spacing w:line="440" w:lineRule="exact"/>
        <w:ind w:firstLine="478" w:firstLineChars="171"/>
        <w:rPr>
          <w:rFonts w:hint="eastAsia" w:ascii="宋体" w:hAnsi="宋体" w:eastAsia="宋体" w:cs="宋体"/>
          <w:color w:val="000000"/>
          <w:sz w:val="28"/>
          <w:szCs w:val="28"/>
        </w:rPr>
      </w:pPr>
      <w:r>
        <w:rPr>
          <w:rFonts w:hint="eastAsia" w:ascii="宋体" w:hAnsi="宋体" w:eastAsia="宋体" w:cs="宋体"/>
          <w:color w:val="000000"/>
          <w:sz w:val="28"/>
          <w:szCs w:val="28"/>
        </w:rPr>
        <w:t>凡是注日期的文件，其随后所有的修改单（不包括勘误的内容）或修订版不适用于本细则。凡是不注日期的文件，其最新版本适用于本细则。</w:t>
      </w:r>
    </w:p>
    <w:p>
      <w:pPr>
        <w:snapToGrid w:val="0"/>
        <w:spacing w:line="440" w:lineRule="exact"/>
        <w:ind w:firstLine="478" w:firstLineChars="171"/>
        <w:rPr>
          <w:rFonts w:hint="eastAsia" w:ascii="宋体" w:hAnsi="宋体" w:eastAsia="宋体" w:cs="宋体"/>
          <w:color w:val="000000"/>
          <w:sz w:val="28"/>
          <w:szCs w:val="28"/>
        </w:rPr>
      </w:pPr>
      <w:r>
        <w:rPr>
          <w:rFonts w:hint="eastAsia" w:ascii="宋体" w:hAnsi="宋体" w:eastAsia="宋体" w:cs="宋体"/>
          <w:color w:val="000000"/>
          <w:sz w:val="28"/>
          <w:szCs w:val="28"/>
        </w:rPr>
        <w:t>依照有关规定或产品适用标准，需要检测的其他项目，可视情况进行调整。</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3 判定规则</w:t>
      </w:r>
    </w:p>
    <w:p>
      <w:pPr>
        <w:snapToGrid w:val="0"/>
        <w:spacing w:line="440" w:lineRule="exact"/>
        <w:rPr>
          <w:rFonts w:hint="eastAsia" w:ascii="宋体" w:hAnsi="宋体" w:eastAsia="宋体" w:cs="宋体"/>
          <w:color w:val="000000"/>
          <w:sz w:val="28"/>
          <w:szCs w:val="28"/>
        </w:rPr>
      </w:pPr>
      <w:r>
        <w:rPr>
          <w:rFonts w:hint="eastAsia" w:ascii="宋体" w:hAnsi="宋体" w:eastAsia="宋体" w:cs="宋体"/>
          <w:color w:val="000000"/>
          <w:sz w:val="28"/>
          <w:szCs w:val="28"/>
        </w:rPr>
        <w:t>3.1依据标准</w:t>
      </w:r>
    </w:p>
    <w:p>
      <w:pPr>
        <w:snapToGrid w:val="0"/>
        <w:spacing w:line="440" w:lineRule="exact"/>
        <w:ind w:firstLine="557" w:firstLineChars="199"/>
        <w:rPr>
          <w:rFonts w:hint="eastAsia" w:ascii="宋体" w:hAnsi="宋体" w:eastAsia="宋体" w:cs="宋体"/>
          <w:kern w:val="0"/>
          <w:sz w:val="28"/>
          <w:szCs w:val="28"/>
        </w:rPr>
      </w:pPr>
      <w:r>
        <w:rPr>
          <w:rFonts w:hint="eastAsia" w:ascii="宋体" w:hAnsi="宋体" w:eastAsia="宋体" w:cs="宋体"/>
          <w:kern w:val="0"/>
          <w:sz w:val="28"/>
          <w:szCs w:val="28"/>
        </w:rPr>
        <w:t>GB 17761-2018</w:t>
      </w:r>
      <w:r>
        <w:rPr>
          <w:rFonts w:hint="eastAsia" w:ascii="宋体" w:hAnsi="宋体" w:cs="宋体"/>
          <w:kern w:val="0"/>
          <w:sz w:val="28"/>
          <w:szCs w:val="28"/>
          <w:lang w:val="en-US" w:eastAsia="zh-CN"/>
        </w:rPr>
        <w:t xml:space="preserve"> </w:t>
      </w:r>
      <w:r>
        <w:rPr>
          <w:rFonts w:hint="eastAsia" w:ascii="宋体" w:hAnsi="宋体" w:eastAsia="宋体" w:cs="宋体"/>
          <w:kern w:val="0"/>
          <w:sz w:val="28"/>
          <w:szCs w:val="28"/>
        </w:rPr>
        <w:t>电动自行车安全技术规范</w:t>
      </w:r>
    </w:p>
    <w:p>
      <w:pPr>
        <w:snapToGrid w:val="0"/>
        <w:spacing w:line="440" w:lineRule="exact"/>
        <w:ind w:firstLine="557" w:firstLineChars="199"/>
        <w:rPr>
          <w:rFonts w:hint="eastAsia" w:ascii="宋体" w:hAnsi="宋体" w:eastAsia="宋体" w:cs="宋体"/>
          <w:kern w:val="0"/>
          <w:sz w:val="28"/>
          <w:szCs w:val="28"/>
        </w:rPr>
      </w:pPr>
      <w:r>
        <w:rPr>
          <w:rFonts w:hint="eastAsia" w:ascii="宋体" w:hAnsi="宋体" w:eastAsia="宋体" w:cs="宋体"/>
          <w:kern w:val="0"/>
          <w:sz w:val="28"/>
          <w:szCs w:val="28"/>
        </w:rPr>
        <w:t>相关的法律、行政法规、部门规章、规范性文件</w:t>
      </w:r>
    </w:p>
    <w:p>
      <w:pPr>
        <w:snapToGrid w:val="0"/>
        <w:spacing w:line="440" w:lineRule="exact"/>
        <w:ind w:firstLine="557" w:firstLineChars="199"/>
        <w:rPr>
          <w:rFonts w:hint="eastAsia" w:ascii="宋体" w:hAnsi="宋体" w:eastAsia="宋体" w:cs="宋体"/>
          <w:kern w:val="0"/>
          <w:sz w:val="28"/>
          <w:szCs w:val="28"/>
        </w:rPr>
      </w:pPr>
      <w:r>
        <w:rPr>
          <w:rFonts w:hint="eastAsia" w:ascii="宋体" w:hAnsi="宋体" w:eastAsia="宋体" w:cs="宋体"/>
          <w:kern w:val="0"/>
          <w:sz w:val="28"/>
          <w:szCs w:val="28"/>
        </w:rPr>
        <w:t>现行有效的企业标准、团体标准、地方标准及产品明示质量要求。</w:t>
      </w:r>
    </w:p>
    <w:p>
      <w:pPr>
        <w:snapToGrid w:val="0"/>
        <w:spacing w:line="440" w:lineRule="exact"/>
        <w:rPr>
          <w:rFonts w:hint="eastAsia" w:ascii="宋体" w:hAnsi="宋体" w:eastAsia="宋体" w:cs="宋体"/>
          <w:color w:val="000000"/>
          <w:sz w:val="28"/>
          <w:szCs w:val="28"/>
        </w:rPr>
      </w:pPr>
      <w:r>
        <w:rPr>
          <w:rFonts w:hint="eastAsia" w:ascii="宋体" w:hAnsi="宋体" w:eastAsia="宋体" w:cs="宋体"/>
          <w:color w:val="000000"/>
          <w:sz w:val="28"/>
          <w:szCs w:val="28"/>
        </w:rPr>
        <w:t>3.2判定原则</w:t>
      </w:r>
    </w:p>
    <w:p>
      <w:pPr>
        <w:snapToGrid w:val="0"/>
        <w:spacing w:line="440" w:lineRule="exact"/>
        <w:ind w:firstLine="557" w:firstLineChars="199"/>
        <w:rPr>
          <w:rFonts w:hint="eastAsia" w:ascii="宋体" w:hAnsi="宋体" w:eastAsia="宋体" w:cs="宋体"/>
          <w:kern w:val="0"/>
          <w:sz w:val="28"/>
          <w:szCs w:val="28"/>
        </w:rPr>
      </w:pPr>
      <w:r>
        <w:rPr>
          <w:rFonts w:hint="eastAsia" w:ascii="宋体" w:hAnsi="宋体" w:eastAsia="宋体" w:cs="宋体"/>
          <w:kern w:val="0"/>
          <w:sz w:val="28"/>
          <w:szCs w:val="28"/>
        </w:rPr>
        <w:t>经检验，检验项目全部合格，判定为被抽查产品所检项目未发现不合格；检验项目中任一项或一项以上不合格，判定为被抽查产品不合格。</w:t>
      </w:r>
    </w:p>
    <w:p>
      <w:pPr>
        <w:snapToGrid w:val="0"/>
        <w:spacing w:line="440" w:lineRule="exact"/>
        <w:ind w:firstLine="557" w:firstLineChars="199"/>
        <w:rPr>
          <w:rFonts w:hint="eastAsia" w:ascii="宋体" w:hAnsi="宋体" w:eastAsia="宋体" w:cs="宋体"/>
          <w:kern w:val="0"/>
          <w:sz w:val="28"/>
          <w:szCs w:val="28"/>
        </w:rPr>
      </w:pPr>
      <w:r>
        <w:rPr>
          <w:rFonts w:hint="eastAsia" w:ascii="宋体" w:hAnsi="宋体" w:eastAsia="宋体" w:cs="宋体"/>
          <w:kern w:val="0"/>
          <w:sz w:val="28"/>
          <w:szCs w:val="28"/>
        </w:rPr>
        <w:t>若被检产品明示的质量要求高于本细则中检验项目依据的标准要求时，应按被检产品明示的质量要求判定。</w:t>
      </w:r>
    </w:p>
    <w:p>
      <w:pPr>
        <w:snapToGrid w:val="0"/>
        <w:spacing w:line="440" w:lineRule="exact"/>
        <w:ind w:firstLine="557" w:firstLineChars="199"/>
        <w:rPr>
          <w:rFonts w:hint="eastAsia" w:ascii="宋体" w:hAnsi="宋体" w:eastAsia="宋体" w:cs="宋体"/>
          <w:kern w:val="0"/>
          <w:sz w:val="28"/>
          <w:szCs w:val="28"/>
        </w:rPr>
      </w:pPr>
      <w:r>
        <w:rPr>
          <w:rFonts w:hint="eastAsia" w:ascii="宋体" w:hAnsi="宋体" w:eastAsia="宋体" w:cs="宋体"/>
          <w:kern w:val="0"/>
          <w:sz w:val="28"/>
          <w:szCs w:val="28"/>
        </w:rPr>
        <w:t>若被检产品明示的质量要求低于本细则中检验项目依据的强制性标准要求时，应按照强制性标准要求判定。</w:t>
      </w:r>
    </w:p>
    <w:p>
      <w:pPr>
        <w:snapToGrid w:val="0"/>
        <w:spacing w:line="440" w:lineRule="exact"/>
        <w:ind w:firstLine="557" w:firstLineChars="199"/>
        <w:rPr>
          <w:rFonts w:hint="eastAsia" w:ascii="宋体" w:hAnsi="宋体" w:eastAsia="宋体" w:cs="宋体"/>
          <w:kern w:val="0"/>
          <w:sz w:val="28"/>
          <w:szCs w:val="28"/>
        </w:rPr>
      </w:pPr>
      <w:r>
        <w:rPr>
          <w:rFonts w:hint="eastAsia" w:ascii="宋体" w:hAnsi="宋体" w:eastAsia="宋体" w:cs="宋体"/>
          <w:kern w:val="0"/>
          <w:sz w:val="28"/>
          <w:szCs w:val="28"/>
        </w:rPr>
        <w:t>若被检产品明示的质量要求低于或包含本细则中检验项目依据的推荐性标准要求时，应以被检产品明示的质量要求判定。</w:t>
      </w:r>
    </w:p>
    <w:p>
      <w:pPr>
        <w:snapToGrid w:val="0"/>
        <w:spacing w:line="440" w:lineRule="exact"/>
        <w:ind w:firstLine="557" w:firstLineChars="199"/>
        <w:rPr>
          <w:rFonts w:hint="eastAsia" w:ascii="宋体" w:hAnsi="宋体" w:eastAsia="宋体" w:cs="宋体"/>
          <w:kern w:val="0"/>
          <w:sz w:val="28"/>
          <w:szCs w:val="28"/>
        </w:rPr>
      </w:pPr>
      <w:r>
        <w:rPr>
          <w:rFonts w:hint="eastAsia" w:ascii="宋体" w:hAnsi="宋体" w:eastAsia="宋体" w:cs="宋体"/>
          <w:kern w:val="0"/>
          <w:sz w:val="28"/>
          <w:szCs w:val="28"/>
        </w:rPr>
        <w:t>若被检产品明示的质量要求缺少本细则中检验项目依据的强制性标准要求时，应按照强制性标准要求判定。</w:t>
      </w:r>
    </w:p>
    <w:p>
      <w:pPr>
        <w:snapToGrid w:val="0"/>
        <w:spacing w:line="440" w:lineRule="exact"/>
        <w:ind w:firstLine="557" w:firstLineChars="199"/>
        <w:rPr>
          <w:rFonts w:hint="eastAsia" w:ascii="宋体" w:hAnsi="宋体" w:eastAsia="宋体" w:cs="宋体"/>
          <w:color w:val="000000"/>
          <w:kern w:val="0"/>
          <w:sz w:val="28"/>
          <w:szCs w:val="28"/>
        </w:rPr>
      </w:pPr>
      <w:r>
        <w:rPr>
          <w:rFonts w:hint="eastAsia" w:ascii="宋体" w:hAnsi="宋体" w:eastAsia="宋体" w:cs="宋体"/>
          <w:kern w:val="0"/>
          <w:sz w:val="28"/>
          <w:szCs w:val="28"/>
        </w:rPr>
        <w:t>若被检产品明示的质量要求缺少本细则中检验项目依据的推荐性标准要求时，该项目不参与判定。</w:t>
      </w:r>
    </w:p>
    <w:p>
      <w:pPr>
        <w:rPr>
          <w:rFonts w:hint="eastAsia" w:ascii="宋体" w:hAnsi="宋体" w:eastAsia="宋体" w:cs="宋体"/>
          <w:sz w:val="28"/>
          <w:szCs w:val="28"/>
        </w:rPr>
      </w:pPr>
    </w:p>
    <w:sectPr>
      <w:footerReference r:id="rId5" w:type="first"/>
      <w:footerReference r:id="rId3" w:type="default"/>
      <w:footerReference r:id="rId4" w:type="even"/>
      <w:pgSz w:w="11906" w:h="16838"/>
      <w:pgMar w:top="1440" w:right="1080" w:bottom="1440" w:left="1080" w:header="851" w:footer="737"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Y2Q5YmVmMzE5ODY5MjVkMjY5NGMzN2I5MzRhMjIifQ=="/>
  </w:docVars>
  <w:rsids>
    <w:rsidRoot w:val="00172A27"/>
    <w:rsid w:val="0ABF7EE6"/>
    <w:rsid w:val="14FE4DDE"/>
    <w:rsid w:val="16D637EF"/>
    <w:rsid w:val="17874F94"/>
    <w:rsid w:val="190A032F"/>
    <w:rsid w:val="1A227A7E"/>
    <w:rsid w:val="1B73636E"/>
    <w:rsid w:val="1E906435"/>
    <w:rsid w:val="241910E8"/>
    <w:rsid w:val="29C158A7"/>
    <w:rsid w:val="2D643517"/>
    <w:rsid w:val="425245B8"/>
    <w:rsid w:val="4AD90483"/>
    <w:rsid w:val="4B1C061E"/>
    <w:rsid w:val="5314122E"/>
    <w:rsid w:val="59B04029"/>
    <w:rsid w:val="5AA70405"/>
    <w:rsid w:val="645070A6"/>
    <w:rsid w:val="665F48FF"/>
    <w:rsid w:val="6F16157F"/>
    <w:rsid w:val="74AE7C10"/>
    <w:rsid w:val="75FD2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customStyle="1" w:styleId="2">
    <w:name w:val="列出段落1"/>
    <w:basedOn w:val="1"/>
    <w:next w:val="1"/>
    <w:qFormat/>
    <w:uiPriority w:val="0"/>
    <w:pPr>
      <w:spacing w:before="100" w:beforeAutospacing="1" w:after="100" w:afterAutospacing="1" w:line="360" w:lineRule="auto"/>
      <w:ind w:left="720"/>
      <w:contextualSpacing/>
    </w:pPr>
    <w:rPr>
      <w:rFonts w:cs="Times New Roman"/>
      <w:color w:val="auto"/>
      <w:kern w:val="2"/>
    </w:rPr>
  </w:style>
  <w:style w:type="paragraph" w:styleId="3">
    <w:name w:val="Body Text"/>
    <w:basedOn w:val="1"/>
    <w:qFormat/>
    <w:uiPriority w:val="0"/>
    <w:pPr>
      <w:spacing w:after="120" w:afterLines="0" w:afterAutospacing="0"/>
    </w:pPr>
  </w:style>
  <w:style w:type="paragraph" w:styleId="4">
    <w:name w:val="Body Text Indent"/>
    <w:basedOn w:val="1"/>
    <w:qFormat/>
    <w:uiPriority w:val="0"/>
    <w:pPr>
      <w:ind w:firstLine="600" w:firstLineChars="200"/>
    </w:pPr>
    <w:rPr>
      <w:rFonts w:ascii="Times New Roman" w:hAnsi="Times New Roman" w:eastAsia="仿宋_GB2312"/>
      <w:sz w:val="30"/>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customStyle="1" w:styleId="10">
    <w:name w:val="Table Normal"/>
    <w:semiHidden/>
    <w:unhideWhenUsed/>
    <w:qFormat/>
    <w:uiPriority w:val="0"/>
    <w:tblPr>
      <w:tblLayout w:type="fixed"/>
      <w:tblCellMar>
        <w:top w:w="0" w:type="dxa"/>
        <w:left w:w="0" w:type="dxa"/>
        <w:bottom w:w="0" w:type="dxa"/>
        <w:right w:w="0" w:type="dxa"/>
      </w:tblCellMar>
    </w:tblPr>
  </w:style>
  <w:style w:type="character" w:customStyle="1" w:styleId="11">
    <w:name w:val="15"/>
    <w:basedOn w:val="7"/>
    <w:uiPriority w:val="0"/>
    <w:rPr>
      <w:rFonts w:hint="default" w:ascii="Times New Roman" w:hAnsi="Times New Roman" w:cs="Times New Roman"/>
    </w:rPr>
  </w:style>
  <w:style w:type="character" w:customStyle="1" w:styleId="12">
    <w:name w:val="10"/>
    <w:basedOn w:val="7"/>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707</Words>
  <Characters>854</Characters>
  <Lines>1</Lines>
  <Paragraphs>1</Paragraphs>
  <TotalTime>0</TotalTime>
  <ScaleCrop>false</ScaleCrop>
  <LinksUpToDate>false</LinksUpToDate>
  <CharactersWithSpaces>872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2023-02-21T05:50:00Z</dcterms:created>
  <dc:creator>山在那里</dc:creator>
  <cp:lastModifiedBy>ZY</cp:lastModifiedBy>
  <dcterms:modified xsi:type="dcterms:W3CDTF">2023-06-21T08:42:58Z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792F19A1BC734DBC97CF01E9CF5AB3DD</vt:lpwstr>
  </property>
</Properties>
</file>