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6" w:line="219" w:lineRule="auto"/>
        <w:ind w:left="998"/>
        <w:outlineLvl w:val="0"/>
        <w:rPr>
          <w:sz w:val="28"/>
          <w:szCs w:val="28"/>
        </w:rPr>
      </w:pPr>
      <w:r>
        <w:rPr>
          <w:rFonts w:hint="eastAsia"/>
          <w:b/>
          <w:bCs/>
          <w:spacing w:val="-4"/>
          <w:sz w:val="28"/>
          <w:szCs w:val="28"/>
          <w:lang w:val="en-US" w:eastAsia="zh-CN"/>
        </w:rPr>
        <w:t>枣庄市</w:t>
      </w:r>
      <w:r>
        <w:rPr>
          <w:b/>
          <w:bCs/>
          <w:spacing w:val="-4"/>
          <w:sz w:val="28"/>
          <w:szCs w:val="28"/>
        </w:rPr>
        <w:t>建筑节能保温材料产品质量监督抽查实施细则</w:t>
      </w:r>
    </w:p>
    <w:p>
      <w:pPr>
        <w:pStyle w:val="2"/>
        <w:spacing w:before="212" w:line="220" w:lineRule="auto"/>
        <w:ind w:left="3335"/>
        <w:outlineLvl w:val="0"/>
        <w:rPr>
          <w:sz w:val="28"/>
          <w:szCs w:val="28"/>
        </w:rPr>
      </w:pPr>
      <w:r>
        <w:rPr>
          <w:b/>
          <w:bCs/>
          <w:spacing w:val="-6"/>
          <w:sz w:val="28"/>
          <w:szCs w:val="28"/>
        </w:rPr>
        <w:t>（2024</w:t>
      </w:r>
      <w:r>
        <w:rPr>
          <w:spacing w:val="-60"/>
          <w:sz w:val="28"/>
          <w:szCs w:val="28"/>
        </w:rPr>
        <w:t xml:space="preserve"> </w:t>
      </w:r>
      <w:r>
        <w:rPr>
          <w:b/>
          <w:bCs/>
          <w:spacing w:val="-6"/>
          <w:sz w:val="28"/>
          <w:szCs w:val="28"/>
        </w:rPr>
        <w:t>年版）</w:t>
      </w:r>
    </w:p>
    <w:p>
      <w:pPr>
        <w:spacing w:line="275" w:lineRule="auto"/>
        <w:rPr>
          <w:rFonts w:ascii="Arial"/>
          <w:sz w:val="21"/>
        </w:rPr>
      </w:pPr>
    </w:p>
    <w:p>
      <w:pPr>
        <w:pStyle w:val="2"/>
        <w:spacing w:before="65" w:line="228" w:lineRule="auto"/>
        <w:ind w:left="64"/>
        <w:outlineLvl w:val="1"/>
      </w:pPr>
      <w:r>
        <w:rPr>
          <w:b/>
          <w:bCs/>
          <w:spacing w:val="-5"/>
        </w:rPr>
        <w:t>1</w:t>
      </w:r>
      <w:r>
        <w:rPr>
          <w:spacing w:val="15"/>
        </w:rPr>
        <w:t xml:space="preserve"> </w:t>
      </w:r>
      <w:r>
        <w:rPr>
          <w:b/>
          <w:bCs/>
          <w:spacing w:val="-5"/>
        </w:rPr>
        <w:t>抽样</w:t>
      </w:r>
    </w:p>
    <w:p>
      <w:pPr>
        <w:pStyle w:val="2"/>
        <w:spacing w:before="53" w:line="228" w:lineRule="auto"/>
        <w:ind w:left="64"/>
      </w:pPr>
      <w:r>
        <w:rPr>
          <w:spacing w:val="3"/>
        </w:rPr>
        <w:t>1.1</w:t>
      </w:r>
      <w:r>
        <w:rPr>
          <w:spacing w:val="-41"/>
        </w:rPr>
        <w:t xml:space="preserve"> </w:t>
      </w:r>
      <w:r>
        <w:rPr>
          <w:spacing w:val="3"/>
        </w:rPr>
        <w:t>抽样方法</w:t>
      </w:r>
    </w:p>
    <w:p>
      <w:pPr>
        <w:pStyle w:val="2"/>
        <w:spacing w:before="161" w:line="362" w:lineRule="auto"/>
        <w:ind w:left="64" w:right="2087" w:firstLine="428"/>
      </w:pPr>
      <w:r>
        <w:rPr>
          <w:spacing w:val="7"/>
        </w:rPr>
        <w:t>以随机抽样的方式在被抽样生产者、销售者的待销产品中抽取</w:t>
      </w:r>
      <w:r>
        <w:rPr>
          <w:rFonts w:hint="eastAsia"/>
          <w:spacing w:val="7"/>
          <w:lang w:eastAsia="zh-CN"/>
        </w:rPr>
        <w:t>。</w:t>
      </w:r>
      <w:r>
        <w:rPr>
          <w:spacing w:val="3"/>
        </w:rPr>
        <w:t>1.2</w:t>
      </w:r>
      <w:r>
        <w:rPr>
          <w:spacing w:val="-41"/>
        </w:rPr>
        <w:t xml:space="preserve"> </w:t>
      </w:r>
      <w:r>
        <w:rPr>
          <w:spacing w:val="3"/>
        </w:rPr>
        <w:t>抽样基数</w:t>
      </w:r>
    </w:p>
    <w:p>
      <w:pPr>
        <w:pStyle w:val="2"/>
        <w:spacing w:before="31" w:line="228" w:lineRule="auto"/>
        <w:ind w:left="467"/>
      </w:pPr>
      <w:r>
        <w:rPr>
          <w:spacing w:val="8"/>
        </w:rPr>
        <w:t>抽样基数满足抽样数量即可。</w:t>
      </w:r>
    </w:p>
    <w:p>
      <w:pPr>
        <w:pStyle w:val="2"/>
        <w:spacing w:before="161" w:line="228" w:lineRule="auto"/>
        <w:ind w:left="64"/>
      </w:pPr>
      <w:r>
        <w:rPr>
          <w:spacing w:val="3"/>
        </w:rPr>
        <w:t>1.3</w:t>
      </w:r>
      <w:r>
        <w:rPr>
          <w:spacing w:val="-41"/>
        </w:rPr>
        <w:t xml:space="preserve"> </w:t>
      </w:r>
      <w:r>
        <w:rPr>
          <w:spacing w:val="3"/>
        </w:rPr>
        <w:t>抽样范围</w:t>
      </w:r>
    </w:p>
    <w:p>
      <w:pPr>
        <w:pStyle w:val="2"/>
        <w:spacing w:before="148" w:line="362" w:lineRule="auto"/>
        <w:ind w:left="51" w:right="58" w:firstLine="416"/>
      </w:pPr>
      <w:r>
        <w:rPr>
          <w:spacing w:val="10"/>
        </w:rPr>
        <w:t>抽查产品种类</w:t>
      </w:r>
      <w:r>
        <w:rPr>
          <w:rFonts w:hint="eastAsia"/>
          <w:spacing w:val="10"/>
          <w:lang w:val="en-US" w:eastAsia="zh-CN"/>
        </w:rPr>
        <w:t>为</w:t>
      </w:r>
      <w:r>
        <w:rPr>
          <w:spacing w:val="10"/>
        </w:rPr>
        <w:t>绝热用挤塑聚</w:t>
      </w:r>
      <w:r>
        <w:rPr>
          <w:spacing w:val="9"/>
        </w:rPr>
        <w:t>苯乙烯泡沫塑料（</w:t>
      </w:r>
      <w:r>
        <w:t>XPS</w:t>
      </w:r>
      <w:r>
        <w:rPr>
          <w:spacing w:val="9"/>
        </w:rPr>
        <w:t>）。</w:t>
      </w:r>
    </w:p>
    <w:p>
      <w:pPr>
        <w:pStyle w:val="2"/>
        <w:spacing w:before="32" w:line="228" w:lineRule="auto"/>
        <w:ind w:left="64"/>
      </w:pPr>
      <w:r>
        <w:rPr>
          <w:spacing w:val="3"/>
        </w:rPr>
        <w:t>1.4</w:t>
      </w:r>
      <w:r>
        <w:rPr>
          <w:spacing w:val="-41"/>
        </w:rPr>
        <w:t xml:space="preserve"> </w:t>
      </w:r>
      <w:r>
        <w:rPr>
          <w:spacing w:val="3"/>
        </w:rPr>
        <w:t>抽样数量</w:t>
      </w:r>
    </w:p>
    <w:p>
      <w:pPr>
        <w:pStyle w:val="2"/>
        <w:spacing w:before="162" w:line="364" w:lineRule="auto"/>
        <w:ind w:left="467" w:right="1456"/>
      </w:pPr>
      <w:r>
        <w:rPr>
          <w:spacing w:val="8"/>
        </w:rPr>
        <w:t>抽取的样品平均分为两份，其中一份为检验样品，另一份为备用样品</w:t>
      </w:r>
      <w:r>
        <w:rPr>
          <w:rFonts w:hint="eastAsia"/>
          <w:spacing w:val="8"/>
          <w:lang w:eastAsia="zh-CN"/>
        </w:rPr>
        <w:t>。</w:t>
      </w:r>
      <w:r>
        <w:rPr>
          <w:spacing w:val="8"/>
        </w:rPr>
        <w:t>每批次产品抽样数量及抽样要求见下表：</w:t>
      </w:r>
    </w:p>
    <w:p>
      <w:pPr>
        <w:pStyle w:val="2"/>
        <w:spacing w:before="29" w:line="228" w:lineRule="auto"/>
        <w:ind w:left="3122"/>
        <w:rPr>
          <w:b/>
          <w:bCs/>
          <w:spacing w:val="4"/>
        </w:rPr>
      </w:pPr>
      <w:r>
        <w:rPr>
          <w:b/>
          <w:bCs/>
          <w:spacing w:val="4"/>
        </w:rPr>
        <w:t>表</w:t>
      </w:r>
      <w:r>
        <w:rPr>
          <w:spacing w:val="-12"/>
        </w:rPr>
        <w:t xml:space="preserve"> </w:t>
      </w:r>
      <w:r>
        <w:rPr>
          <w:b/>
          <w:bCs/>
          <w:spacing w:val="4"/>
        </w:rPr>
        <w:t>1-1</w:t>
      </w:r>
      <w:r>
        <w:rPr>
          <w:spacing w:val="4"/>
        </w:rPr>
        <w:t xml:space="preserve"> </w:t>
      </w:r>
      <w:r>
        <w:rPr>
          <w:b/>
          <w:bCs/>
          <w:spacing w:val="4"/>
        </w:rPr>
        <w:t>抽样数量及抽样要求</w:t>
      </w:r>
    </w:p>
    <w:tbl>
      <w:tblPr>
        <w:tblStyle w:val="3"/>
        <w:tblW w:w="86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923"/>
        <w:gridCol w:w="1745"/>
        <w:gridCol w:w="1945"/>
        <w:gridCol w:w="2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729" w:type="dxa"/>
            <w:vAlign w:val="center"/>
          </w:tcPr>
          <w:p>
            <w:pPr>
              <w:adjustRightInd w:val="0"/>
              <w:snapToGrid w:val="0"/>
              <w:spacing w:line="240" w:lineRule="auto"/>
              <w:jc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序号</w:t>
            </w:r>
          </w:p>
        </w:tc>
        <w:tc>
          <w:tcPr>
            <w:tcW w:w="1923" w:type="dxa"/>
            <w:vAlign w:val="center"/>
          </w:tcPr>
          <w:p>
            <w:pPr>
              <w:adjustRightInd w:val="0"/>
              <w:snapToGrid w:val="0"/>
              <w:spacing w:line="24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sz w:val="21"/>
                <w:szCs w:val="21"/>
              </w:rPr>
              <w:t>产品种类</w:t>
            </w:r>
          </w:p>
        </w:tc>
        <w:tc>
          <w:tcPr>
            <w:tcW w:w="1745" w:type="dxa"/>
            <w:vAlign w:val="center"/>
          </w:tcPr>
          <w:p>
            <w:pPr>
              <w:adjustRightInd w:val="0"/>
              <w:snapToGrid w:val="0"/>
              <w:spacing w:line="24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抽样数量</w:t>
            </w:r>
          </w:p>
        </w:tc>
        <w:tc>
          <w:tcPr>
            <w:tcW w:w="1945" w:type="dxa"/>
            <w:vAlign w:val="center"/>
          </w:tcPr>
          <w:p>
            <w:pPr>
              <w:adjustRightInd w:val="0"/>
              <w:snapToGrid w:val="0"/>
              <w:spacing w:line="24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抽样注意事项</w:t>
            </w:r>
          </w:p>
        </w:tc>
        <w:tc>
          <w:tcPr>
            <w:tcW w:w="2290" w:type="dxa"/>
            <w:vAlign w:val="center"/>
          </w:tcPr>
          <w:p>
            <w:pPr>
              <w:adjustRightInd w:val="0"/>
              <w:snapToGrid w:val="0"/>
              <w:spacing w:line="240" w:lineRule="auto"/>
              <w:jc w:val="center"/>
              <w:rPr>
                <w:rFonts w:hint="eastAsia" w:asciiTheme="minorEastAsia" w:hAnsiTheme="minorEastAsia" w:eastAsiaTheme="minorEastAsia" w:cstheme="minorEastAsia"/>
                <w:bCs/>
                <w:kern w:val="0"/>
                <w:sz w:val="21"/>
                <w:szCs w:val="21"/>
              </w:rPr>
            </w:pPr>
            <w:r>
              <w:rPr>
                <w:rFonts w:hint="eastAsia" w:asciiTheme="minorEastAsia" w:hAnsiTheme="minorEastAsia" w:eastAsiaTheme="minorEastAsia" w:cstheme="minorEastAsia"/>
                <w:bCs/>
                <w:kern w:val="0"/>
                <w:sz w:val="21"/>
                <w:szCs w:val="21"/>
              </w:rPr>
              <w:t>需注明信息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2" w:hRule="atLeast"/>
          <w:jc w:val="center"/>
        </w:trPr>
        <w:tc>
          <w:tcPr>
            <w:tcW w:w="729" w:type="dxa"/>
            <w:vAlign w:val="center"/>
          </w:tcPr>
          <w:p>
            <w:pPr>
              <w:adjustRightInd w:val="0"/>
              <w:snapToGrid w:val="0"/>
              <w:spacing w:line="240" w:lineRule="auto"/>
              <w:jc w:val="center"/>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lang w:val="en-US" w:eastAsia="zh-CN"/>
              </w:rPr>
              <w:t>1</w:t>
            </w:r>
          </w:p>
        </w:tc>
        <w:tc>
          <w:tcPr>
            <w:tcW w:w="1923" w:type="dxa"/>
            <w:vAlign w:val="center"/>
          </w:tcPr>
          <w:p>
            <w:pPr>
              <w:pStyle w:val="6"/>
              <w:spacing w:before="24" w:line="233" w:lineRule="auto"/>
              <w:ind w:left="208"/>
            </w:pPr>
            <w:r>
              <w:rPr>
                <w:rFonts w:hint="eastAsia" w:asciiTheme="minorEastAsia" w:hAnsiTheme="minorEastAsia" w:eastAsiaTheme="minorEastAsia" w:cstheme="minorEastAsia"/>
                <w:kern w:val="0"/>
                <w:sz w:val="21"/>
                <w:szCs w:val="21"/>
              </w:rPr>
              <w:t>绝热用挤塑聚苯乙烯泡沫塑料（XPS）</w:t>
            </w:r>
            <w:r>
              <w:rPr>
                <w:spacing w:val="-7"/>
              </w:rPr>
              <w:t>（</w:t>
            </w:r>
            <w:r>
              <w:t>GB</w:t>
            </w:r>
            <w:r>
              <w:rPr>
                <w:spacing w:val="20"/>
              </w:rPr>
              <w:t>/T</w:t>
            </w:r>
          </w:p>
          <w:p>
            <w:pPr>
              <w:adjustRightInd w:val="0"/>
              <w:snapToGrid w:val="0"/>
              <w:spacing w:line="240" w:lineRule="auto"/>
              <w:jc w:val="center"/>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snapToGrid w:val="0"/>
                <w:color w:val="000000"/>
                <w:kern w:val="0"/>
                <w:sz w:val="21"/>
                <w:szCs w:val="21"/>
                <w:lang w:val="en-US" w:eastAsia="en-US" w:bidi="ar-SA"/>
              </w:rPr>
              <w:t>10801.2）</w:t>
            </w:r>
          </w:p>
        </w:tc>
        <w:tc>
          <w:tcPr>
            <w:tcW w:w="1745" w:type="dxa"/>
            <w:vAlign w:val="center"/>
          </w:tcPr>
          <w:p>
            <w:pPr>
              <w:adjustRightInd w:val="0"/>
              <w:snapToGrid w:val="0"/>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不少于20m</w:t>
            </w:r>
            <w:r>
              <w:rPr>
                <w:rFonts w:hint="eastAsia" w:asciiTheme="minorEastAsia" w:hAnsiTheme="minorEastAsia" w:eastAsiaTheme="minorEastAsia" w:cstheme="minorEastAsia"/>
                <w:kern w:val="0"/>
                <w:sz w:val="21"/>
                <w:szCs w:val="21"/>
                <w:vertAlign w:val="superscript"/>
              </w:rPr>
              <w:t>2</w:t>
            </w:r>
            <w:r>
              <w:rPr>
                <w:rFonts w:hint="eastAsia" w:asciiTheme="minorEastAsia" w:hAnsiTheme="minorEastAsia" w:eastAsiaTheme="minorEastAsia" w:cstheme="minorEastAsia"/>
                <w:kern w:val="0"/>
                <w:sz w:val="21"/>
                <w:szCs w:val="21"/>
              </w:rPr>
              <w:t>；燃烧级别声称为B</w:t>
            </w:r>
            <w:r>
              <w:rPr>
                <w:rFonts w:hint="eastAsia" w:asciiTheme="minorEastAsia" w:hAnsiTheme="minorEastAsia" w:eastAsiaTheme="minorEastAsia" w:cstheme="minorEastAsia"/>
                <w:kern w:val="0"/>
                <w:sz w:val="21"/>
                <w:szCs w:val="21"/>
                <w:vertAlign w:val="subscript"/>
              </w:rPr>
              <w:t>2</w:t>
            </w:r>
            <w:r>
              <w:rPr>
                <w:rFonts w:hint="eastAsia" w:asciiTheme="minorEastAsia" w:hAnsiTheme="minorEastAsia" w:eastAsiaTheme="minorEastAsia" w:cstheme="minorEastAsia"/>
                <w:kern w:val="0"/>
                <w:sz w:val="21"/>
                <w:szCs w:val="21"/>
              </w:rPr>
              <w:t>（E）级时不少于2m</w:t>
            </w:r>
            <w:r>
              <w:rPr>
                <w:rFonts w:hint="eastAsia" w:asciiTheme="minorEastAsia" w:hAnsiTheme="minorEastAsia" w:eastAsiaTheme="minorEastAsia" w:cstheme="minorEastAsia"/>
                <w:kern w:val="0"/>
                <w:sz w:val="21"/>
                <w:szCs w:val="21"/>
                <w:vertAlign w:val="superscript"/>
              </w:rPr>
              <w:t>2</w:t>
            </w:r>
          </w:p>
        </w:tc>
        <w:tc>
          <w:tcPr>
            <w:tcW w:w="1945" w:type="dxa"/>
            <w:vAlign w:val="center"/>
          </w:tcPr>
          <w:p>
            <w:pPr>
              <w:adjustRightInd w:val="0"/>
              <w:snapToGrid w:val="0"/>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每块样品不少于</w:t>
            </w:r>
          </w:p>
          <w:p>
            <w:pPr>
              <w:adjustRightInd w:val="0"/>
              <w:snapToGrid w:val="0"/>
              <w:spacing w:line="240" w:lineRule="auto"/>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500mm×500mm</w:t>
            </w:r>
          </w:p>
        </w:tc>
        <w:tc>
          <w:tcPr>
            <w:tcW w:w="2290" w:type="dxa"/>
            <w:vAlign w:val="center"/>
          </w:tcPr>
          <w:p>
            <w:pPr>
              <w:pStyle w:val="6"/>
              <w:spacing w:before="33" w:line="228" w:lineRule="auto"/>
              <w:ind w:left="685"/>
            </w:pPr>
            <w:r>
              <w:rPr>
                <w:spacing w:val="3"/>
              </w:rPr>
              <w:t>类别、</w:t>
            </w:r>
          </w:p>
          <w:p>
            <w:pPr>
              <w:pStyle w:val="6"/>
              <w:spacing w:before="25" w:line="244" w:lineRule="auto"/>
              <w:ind w:left="265" w:right="293" w:hanging="1"/>
            </w:pPr>
            <w:r>
              <w:rPr>
                <w:spacing w:val="3"/>
              </w:rPr>
              <w:t>边缘结构形式、</w:t>
            </w:r>
            <w:r>
              <w:rPr>
                <w:spacing w:val="4"/>
              </w:rPr>
              <w:t xml:space="preserve"> </w:t>
            </w:r>
            <w:r>
              <w:rPr>
                <w:spacing w:val="3"/>
              </w:rPr>
              <w:t>燃烧性能等级、 绝热性能等级、</w:t>
            </w:r>
          </w:p>
          <w:p>
            <w:pPr>
              <w:adjustRightInd w:val="0"/>
              <w:snapToGrid w:val="0"/>
              <w:spacing w:line="240" w:lineRule="auto"/>
              <w:jc w:val="center"/>
              <w:rPr>
                <w:rFonts w:hint="eastAsia" w:asciiTheme="minorEastAsia" w:hAnsiTheme="minorEastAsia" w:eastAsiaTheme="minorEastAsia" w:cstheme="minorEastAsia"/>
                <w:color w:val="000000"/>
                <w:sz w:val="21"/>
                <w:szCs w:val="21"/>
              </w:rPr>
            </w:pPr>
            <w:r>
              <w:rPr>
                <w:spacing w:val="8"/>
              </w:rPr>
              <w:t>是否用于墙面保温</w:t>
            </w:r>
          </w:p>
        </w:tc>
      </w:tr>
    </w:tbl>
    <w:p>
      <w:pPr>
        <w:spacing w:line="130" w:lineRule="exact"/>
      </w:pPr>
    </w:p>
    <w:p>
      <w:pPr>
        <w:pStyle w:val="2"/>
        <w:spacing w:before="31" w:line="228" w:lineRule="auto"/>
        <w:ind w:left="48"/>
      </w:pPr>
      <w:r>
        <w:rPr>
          <w:spacing w:val="8"/>
        </w:rPr>
        <w:t>注：抽样时应注意样品的生产日期。</w:t>
      </w:r>
    </w:p>
    <w:p>
      <w:pPr>
        <w:pStyle w:val="2"/>
        <w:spacing w:before="161" w:line="228" w:lineRule="auto"/>
        <w:ind w:left="51"/>
        <w:outlineLvl w:val="1"/>
      </w:pPr>
      <w:r>
        <w:rPr>
          <w:b/>
          <w:bCs/>
          <w:spacing w:val="6"/>
        </w:rPr>
        <w:t>2</w:t>
      </w:r>
      <w:r>
        <w:rPr>
          <w:spacing w:val="6"/>
        </w:rPr>
        <w:t xml:space="preserve"> </w:t>
      </w:r>
      <w:r>
        <w:rPr>
          <w:b/>
          <w:bCs/>
          <w:spacing w:val="6"/>
        </w:rPr>
        <w:t>检验项目及检测方法</w:t>
      </w:r>
    </w:p>
    <w:p>
      <w:pPr>
        <w:pStyle w:val="2"/>
        <w:spacing w:before="162" w:line="368" w:lineRule="auto"/>
        <w:ind w:left="49" w:right="41" w:firstLine="419"/>
        <w:jc w:val="both"/>
        <w:rPr>
          <w:rFonts w:hint="default" w:eastAsia="宋体"/>
          <w:lang w:val="en-US" w:eastAsia="zh-CN"/>
        </w:rPr>
      </w:pPr>
      <w:r>
        <w:rPr>
          <w:spacing w:val="11"/>
        </w:rPr>
        <w:t>执行</w:t>
      </w:r>
      <w:r>
        <w:t>GB</w:t>
      </w:r>
      <w:r>
        <w:rPr>
          <w:spacing w:val="11"/>
        </w:rPr>
        <w:t>/T 10801.</w:t>
      </w:r>
      <w:r>
        <w:rPr>
          <w:spacing w:val="10"/>
        </w:rPr>
        <w:t>2标准的产品的检验项目及检测</w:t>
      </w:r>
      <w:r>
        <w:rPr>
          <w:spacing w:val="9"/>
        </w:rPr>
        <w:t>方法见表</w:t>
      </w:r>
      <w:r>
        <w:rPr>
          <w:spacing w:val="-37"/>
        </w:rPr>
        <w:t xml:space="preserve"> </w:t>
      </w:r>
      <w:r>
        <w:rPr>
          <w:spacing w:val="9"/>
        </w:rPr>
        <w:t>2-</w:t>
      </w:r>
      <w:r>
        <w:rPr>
          <w:rFonts w:hint="eastAsia"/>
          <w:spacing w:val="9"/>
          <w:lang w:val="en-US" w:eastAsia="zh-CN"/>
        </w:rPr>
        <w:t>1。</w:t>
      </w:r>
    </w:p>
    <w:p>
      <w:pPr>
        <w:pStyle w:val="2"/>
        <w:spacing w:before="65" w:line="227" w:lineRule="auto"/>
        <w:ind w:firstLine="1289" w:firstLineChars="600"/>
        <w:outlineLvl w:val="0"/>
      </w:pPr>
      <w:r>
        <w:rPr>
          <w:b/>
          <w:bCs/>
          <w:spacing w:val="7"/>
        </w:rPr>
        <w:t>表</w:t>
      </w:r>
      <w:r>
        <w:rPr>
          <w:spacing w:val="-21"/>
        </w:rPr>
        <w:t xml:space="preserve"> </w:t>
      </w:r>
      <w:r>
        <w:rPr>
          <w:b/>
          <w:bCs/>
          <w:spacing w:val="7"/>
        </w:rPr>
        <w:t>2-</w:t>
      </w:r>
      <w:r>
        <w:rPr>
          <w:rFonts w:hint="eastAsia"/>
          <w:b/>
          <w:bCs/>
          <w:spacing w:val="7"/>
          <w:lang w:val="en-US" w:eastAsia="zh-CN"/>
        </w:rPr>
        <w:t>1</w:t>
      </w:r>
      <w:r>
        <w:rPr>
          <w:spacing w:val="7"/>
        </w:rPr>
        <w:t xml:space="preserve"> </w:t>
      </w:r>
      <w:r>
        <w:rPr>
          <w:b/>
          <w:bCs/>
          <w:spacing w:val="7"/>
        </w:rPr>
        <w:t>绝热用挤塑聚苯乙烯泡沫塑料（</w:t>
      </w:r>
      <w:r>
        <w:rPr>
          <w:b/>
          <w:bCs/>
        </w:rPr>
        <w:t>XPS</w:t>
      </w:r>
      <w:r>
        <w:rPr>
          <w:b/>
          <w:bCs/>
          <w:spacing w:val="7"/>
        </w:rPr>
        <w:t>）产品检验项目</w:t>
      </w:r>
    </w:p>
    <w:p>
      <w:pPr>
        <w:spacing w:line="131" w:lineRule="exact"/>
      </w:pPr>
    </w:p>
    <w:tbl>
      <w:tblPr>
        <w:tblStyle w:val="5"/>
        <w:tblW w:w="82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18"/>
        <w:gridCol w:w="3023"/>
        <w:gridCol w:w="408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3" w:hRule="atLeast"/>
        </w:trPr>
        <w:tc>
          <w:tcPr>
            <w:tcW w:w="1118" w:type="dxa"/>
            <w:vAlign w:val="top"/>
          </w:tcPr>
          <w:p>
            <w:pPr>
              <w:pStyle w:val="6"/>
              <w:spacing w:before="279" w:line="360" w:lineRule="auto"/>
              <w:ind w:left="418"/>
            </w:pPr>
            <w:r>
              <w:rPr>
                <w:spacing w:val="5"/>
              </w:rPr>
              <w:t>序号</w:t>
            </w:r>
          </w:p>
        </w:tc>
        <w:tc>
          <w:tcPr>
            <w:tcW w:w="3023" w:type="dxa"/>
            <w:vAlign w:val="top"/>
          </w:tcPr>
          <w:p>
            <w:pPr>
              <w:pStyle w:val="6"/>
              <w:spacing w:before="279" w:line="360" w:lineRule="auto"/>
              <w:ind w:left="1090"/>
            </w:pPr>
            <w:r>
              <w:rPr>
                <w:spacing w:val="7"/>
              </w:rPr>
              <w:t>检验项目</w:t>
            </w:r>
          </w:p>
        </w:tc>
        <w:tc>
          <w:tcPr>
            <w:tcW w:w="4080" w:type="dxa"/>
            <w:vAlign w:val="top"/>
          </w:tcPr>
          <w:p>
            <w:pPr>
              <w:pStyle w:val="6"/>
              <w:spacing w:before="279" w:line="360" w:lineRule="auto"/>
              <w:ind w:left="1564"/>
            </w:pPr>
            <w:r>
              <w:rPr>
                <w:spacing w:val="7"/>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1118" w:type="dxa"/>
            <w:vAlign w:val="top"/>
          </w:tcPr>
          <w:p>
            <w:pPr>
              <w:spacing w:line="241" w:lineRule="auto"/>
              <w:rPr>
                <w:rFonts w:ascii="Arial"/>
                <w:sz w:val="21"/>
              </w:rPr>
            </w:pPr>
          </w:p>
          <w:p>
            <w:pPr>
              <w:pStyle w:val="6"/>
              <w:spacing w:before="65" w:line="189" w:lineRule="auto"/>
              <w:ind w:left="590"/>
            </w:pPr>
            <w:r>
              <w:t>1</w:t>
            </w:r>
          </w:p>
        </w:tc>
        <w:tc>
          <w:tcPr>
            <w:tcW w:w="3023" w:type="dxa"/>
            <w:vAlign w:val="top"/>
          </w:tcPr>
          <w:p>
            <w:pPr>
              <w:pStyle w:val="6"/>
              <w:spacing w:before="275" w:line="227" w:lineRule="auto"/>
              <w:ind w:left="1091"/>
            </w:pPr>
            <w:r>
              <w:rPr>
                <w:spacing w:val="7"/>
              </w:rPr>
              <w:t>压缩强度</w:t>
            </w:r>
          </w:p>
        </w:tc>
        <w:tc>
          <w:tcPr>
            <w:tcW w:w="4080" w:type="dxa"/>
            <w:vAlign w:val="top"/>
          </w:tcPr>
          <w:p>
            <w:pPr>
              <w:pStyle w:val="6"/>
              <w:spacing w:before="275" w:line="233" w:lineRule="auto"/>
              <w:ind w:left="1509"/>
            </w:pPr>
            <w:r>
              <w:t>GB</w:t>
            </w:r>
            <w:r>
              <w:rPr>
                <w:spacing w:val="4"/>
              </w:rPr>
              <w:t>/T</w:t>
            </w:r>
            <w:r>
              <w:rPr>
                <w:spacing w:val="16"/>
              </w:rPr>
              <w:t xml:space="preserve"> </w:t>
            </w:r>
            <w:r>
              <w:rPr>
                <w:spacing w:val="4"/>
              </w:rPr>
              <w:t>8813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118" w:type="dxa"/>
            <w:vAlign w:val="top"/>
          </w:tcPr>
          <w:p>
            <w:pPr>
              <w:pStyle w:val="6"/>
              <w:spacing w:before="290" w:line="189" w:lineRule="auto"/>
              <w:ind w:left="577"/>
            </w:pPr>
            <w:r>
              <w:t>2</w:t>
            </w:r>
          </w:p>
        </w:tc>
        <w:tc>
          <w:tcPr>
            <w:tcW w:w="3023" w:type="dxa"/>
            <w:vAlign w:val="top"/>
          </w:tcPr>
          <w:p>
            <w:pPr>
              <w:pStyle w:val="6"/>
              <w:spacing w:before="101" w:line="227" w:lineRule="auto"/>
              <w:ind w:left="984"/>
            </w:pPr>
            <w:r>
              <w:rPr>
                <w:spacing w:val="8"/>
              </w:rPr>
              <w:t>尺寸稳定性</w:t>
            </w:r>
          </w:p>
          <w:p>
            <w:pPr>
              <w:pStyle w:val="6"/>
              <w:spacing w:before="65" w:line="225" w:lineRule="auto"/>
              <w:ind w:left="575"/>
            </w:pPr>
            <w:r>
              <w:rPr>
                <w:spacing w:val="-2"/>
              </w:rPr>
              <w:t>（70℃±2℃</w:t>
            </w:r>
            <w:r>
              <w:rPr>
                <w:spacing w:val="-73"/>
              </w:rPr>
              <w:t xml:space="preserve"> </w:t>
            </w:r>
            <w:r>
              <w:rPr>
                <w:spacing w:val="-2"/>
              </w:rPr>
              <w:t>,48h）</w:t>
            </w:r>
          </w:p>
        </w:tc>
        <w:tc>
          <w:tcPr>
            <w:tcW w:w="4080" w:type="dxa"/>
            <w:vAlign w:val="top"/>
          </w:tcPr>
          <w:p>
            <w:pPr>
              <w:pStyle w:val="6"/>
              <w:spacing w:before="257" w:line="233" w:lineRule="auto"/>
              <w:ind w:left="1509"/>
            </w:pPr>
            <w:r>
              <w:t>GB</w:t>
            </w:r>
            <w:r>
              <w:rPr>
                <w:spacing w:val="4"/>
              </w:rPr>
              <w:t>/T</w:t>
            </w:r>
            <w:r>
              <w:rPr>
                <w:spacing w:val="16"/>
              </w:rPr>
              <w:t xml:space="preserve"> </w:t>
            </w:r>
            <w:r>
              <w:rPr>
                <w:spacing w:val="4"/>
              </w:rPr>
              <w:t>8811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trPr>
        <w:tc>
          <w:tcPr>
            <w:tcW w:w="1118" w:type="dxa"/>
            <w:vAlign w:val="center"/>
          </w:tcPr>
          <w:p>
            <w:pPr>
              <w:spacing w:line="240" w:lineRule="auto"/>
              <w:jc w:val="center"/>
              <w:rPr>
                <w:rFonts w:hint="eastAsia" w:asciiTheme="minorEastAsia" w:hAnsiTheme="minorEastAsia" w:eastAsiaTheme="minorEastAsia" w:cstheme="minorEastAsia"/>
                <w:snapToGrid w:val="0"/>
                <w:color w:val="000000"/>
                <w:kern w:val="0"/>
                <w:sz w:val="21"/>
                <w:szCs w:val="21"/>
                <w:lang w:val="zh-TW" w:eastAsia="zh-TW" w:bidi="ar-SA"/>
              </w:rPr>
            </w:pPr>
            <w:r>
              <w:rPr>
                <w:rStyle w:val="7"/>
                <w:rFonts w:hint="eastAsia" w:asciiTheme="minorEastAsia" w:hAnsiTheme="minorEastAsia" w:eastAsiaTheme="minorEastAsia" w:cstheme="minorEastAsia"/>
                <w:color w:val="000000"/>
                <w:sz w:val="21"/>
                <w:szCs w:val="21"/>
                <w:lang w:val="zh-TW" w:eastAsia="zh-TW"/>
              </w:rPr>
              <w:t>3</w:t>
            </w:r>
          </w:p>
        </w:tc>
        <w:tc>
          <w:tcPr>
            <w:tcW w:w="3023" w:type="dxa"/>
            <w:vAlign w:val="center"/>
          </w:tcPr>
          <w:p>
            <w:pPr>
              <w:spacing w:line="240" w:lineRule="auto"/>
              <w:jc w:val="center"/>
              <w:rPr>
                <w:rFonts w:hint="default" w:asciiTheme="minorEastAsia" w:hAnsiTheme="minorEastAsia" w:eastAsiaTheme="minorEastAsia" w:cstheme="minorEastAsia"/>
                <w:snapToGrid w:val="0"/>
                <w:color w:val="000000"/>
                <w:kern w:val="0"/>
                <w:sz w:val="21"/>
                <w:szCs w:val="21"/>
                <w:lang w:val="en-US" w:eastAsia="zh-CN" w:bidi="ar-SA"/>
              </w:rPr>
            </w:pPr>
            <w:r>
              <w:rPr>
                <w:rStyle w:val="7"/>
                <w:rFonts w:hint="eastAsia" w:asciiTheme="minorEastAsia" w:hAnsiTheme="minorEastAsia" w:eastAsiaTheme="minorEastAsia" w:cstheme="minorEastAsia"/>
                <w:color w:val="000000"/>
                <w:sz w:val="21"/>
                <w:szCs w:val="21"/>
                <w:lang w:val="en-US" w:eastAsia="zh-CN"/>
              </w:rPr>
              <w:t>绝热性能</w:t>
            </w:r>
          </w:p>
        </w:tc>
        <w:tc>
          <w:tcPr>
            <w:tcW w:w="4080" w:type="dxa"/>
            <w:vAlign w:val="center"/>
          </w:tcPr>
          <w:p>
            <w:pPr>
              <w:spacing w:line="240" w:lineRule="auto"/>
              <w:jc w:val="center"/>
              <w:rPr>
                <w:rFonts w:hint="eastAsia" w:asciiTheme="minorEastAsia" w:hAnsiTheme="minorEastAsia" w:eastAsiaTheme="minorEastAsia" w:cstheme="minorEastAsia"/>
                <w:snapToGrid w:val="0"/>
                <w:color w:val="000000"/>
                <w:kern w:val="0"/>
                <w:sz w:val="21"/>
                <w:szCs w:val="21"/>
                <w:lang w:val="en-US" w:eastAsia="en-US" w:bidi="ar-SA"/>
              </w:rPr>
            </w:pPr>
            <w:r>
              <w:rPr>
                <w:rStyle w:val="7"/>
                <w:rFonts w:hint="eastAsia" w:asciiTheme="minorEastAsia" w:hAnsiTheme="minorEastAsia" w:eastAsiaTheme="minorEastAsia" w:cstheme="minorEastAsia"/>
                <w:color w:val="000000"/>
                <w:sz w:val="21"/>
                <w:szCs w:val="21"/>
              </w:rPr>
              <w:t>GB/T 1029</w:t>
            </w:r>
            <w:r>
              <w:rPr>
                <w:rStyle w:val="7"/>
                <w:rFonts w:hint="eastAsia" w:asciiTheme="minorEastAsia" w:hAnsiTheme="minorEastAsia" w:eastAsiaTheme="minorEastAsia" w:cstheme="minorEastAsia"/>
                <w:sz w:val="21"/>
                <w:szCs w:val="21"/>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1118" w:type="dxa"/>
            <w:vAlign w:val="top"/>
          </w:tcPr>
          <w:p>
            <w:pPr>
              <w:spacing w:line="243" w:lineRule="auto"/>
              <w:rPr>
                <w:rFonts w:ascii="Arial"/>
                <w:sz w:val="21"/>
              </w:rPr>
            </w:pPr>
          </w:p>
          <w:p>
            <w:pPr>
              <w:spacing w:line="244" w:lineRule="auto"/>
              <w:rPr>
                <w:rFonts w:ascii="Arial"/>
                <w:sz w:val="21"/>
              </w:rPr>
            </w:pPr>
          </w:p>
          <w:p>
            <w:pPr>
              <w:pStyle w:val="6"/>
              <w:spacing w:before="65" w:line="189" w:lineRule="auto"/>
              <w:ind w:left="574"/>
            </w:pPr>
            <w:r>
              <w:t>4</w:t>
            </w:r>
          </w:p>
        </w:tc>
        <w:tc>
          <w:tcPr>
            <w:tcW w:w="3023" w:type="dxa"/>
            <w:vAlign w:val="top"/>
          </w:tcPr>
          <w:p>
            <w:pPr>
              <w:spacing w:line="455" w:lineRule="auto"/>
              <w:rPr>
                <w:rFonts w:ascii="Arial"/>
                <w:sz w:val="21"/>
              </w:rPr>
            </w:pPr>
          </w:p>
          <w:p>
            <w:pPr>
              <w:pStyle w:val="6"/>
              <w:spacing w:before="65" w:line="227" w:lineRule="auto"/>
              <w:ind w:left="1091"/>
            </w:pPr>
            <w:r>
              <w:rPr>
                <w:spacing w:val="7"/>
              </w:rPr>
              <w:t>燃烧性能</w:t>
            </w:r>
          </w:p>
        </w:tc>
        <w:tc>
          <w:tcPr>
            <w:tcW w:w="4080" w:type="dxa"/>
            <w:vAlign w:val="top"/>
          </w:tcPr>
          <w:p>
            <w:pPr>
              <w:pStyle w:val="6"/>
              <w:spacing w:before="88" w:line="189" w:lineRule="auto"/>
              <w:ind w:left="1615"/>
            </w:pPr>
            <w:r>
              <w:t>GB</w:t>
            </w:r>
            <w:r>
              <w:rPr>
                <w:spacing w:val="13"/>
              </w:rPr>
              <w:t xml:space="preserve"> </w:t>
            </w:r>
            <w:r>
              <w:rPr>
                <w:spacing w:val="4"/>
              </w:rPr>
              <w:t>8624</w:t>
            </w:r>
          </w:p>
          <w:p>
            <w:pPr>
              <w:pStyle w:val="6"/>
              <w:spacing w:before="74" w:line="233" w:lineRule="auto"/>
              <w:ind w:left="1509"/>
            </w:pPr>
            <w:r>
              <w:t>GB</w:t>
            </w:r>
            <w:r>
              <w:rPr>
                <w:spacing w:val="4"/>
              </w:rPr>
              <w:t>/T</w:t>
            </w:r>
            <w:r>
              <w:rPr>
                <w:spacing w:val="16"/>
              </w:rPr>
              <w:t xml:space="preserve"> </w:t>
            </w:r>
            <w:r>
              <w:rPr>
                <w:spacing w:val="4"/>
              </w:rPr>
              <w:t>8626</w:t>
            </w:r>
          </w:p>
          <w:p>
            <w:pPr>
              <w:pStyle w:val="6"/>
              <w:spacing w:before="59" w:line="233" w:lineRule="auto"/>
              <w:ind w:left="1459"/>
            </w:pPr>
            <w:r>
              <w:t>GB</w:t>
            </w:r>
            <w:r>
              <w:rPr>
                <w:spacing w:val="3"/>
              </w:rPr>
              <w:t>/T</w:t>
            </w:r>
            <w:r>
              <w:rPr>
                <w:spacing w:val="20"/>
              </w:rPr>
              <w:t xml:space="preserve"> </w:t>
            </w:r>
            <w:r>
              <w:rPr>
                <w:spacing w:val="3"/>
              </w:rPr>
              <w:t>20284</w:t>
            </w:r>
          </w:p>
          <w:p>
            <w:pPr>
              <w:pStyle w:val="6"/>
              <w:spacing w:before="59" w:line="233" w:lineRule="auto"/>
              <w:ind w:left="1406"/>
            </w:pPr>
            <w:r>
              <w:t>GB</w:t>
            </w:r>
            <w:r>
              <w:rPr>
                <w:spacing w:val="4"/>
              </w:rPr>
              <w:t>/T</w:t>
            </w:r>
            <w:r>
              <w:rPr>
                <w:spacing w:val="14"/>
              </w:rPr>
              <w:t xml:space="preserve"> </w:t>
            </w:r>
            <w:r>
              <w:rPr>
                <w:spacing w:val="4"/>
              </w:rPr>
              <w:t>2406.2</w:t>
            </w:r>
          </w:p>
        </w:tc>
      </w:tr>
    </w:tbl>
    <w:p>
      <w:pPr>
        <w:pStyle w:val="2"/>
        <w:spacing w:before="185" w:line="370" w:lineRule="auto"/>
        <w:ind w:left="119" w:right="11" w:firstLine="422"/>
        <w:jc w:val="both"/>
      </w:pPr>
      <w:r>
        <w:rPr>
          <w:spacing w:val="9"/>
        </w:rPr>
        <w:t>注</w:t>
      </w:r>
      <w:r>
        <w:rPr>
          <w:rFonts w:hint="eastAsia"/>
          <w:spacing w:val="9"/>
          <w:lang w:eastAsia="zh-CN"/>
        </w:rPr>
        <w:t>：</w:t>
      </w:r>
      <w:r>
        <w:rPr>
          <w:spacing w:val="9"/>
        </w:rPr>
        <w:t>陈化时间应符合相应的产品标准要求。燃烧性能按照</w:t>
      </w:r>
      <w:r>
        <w:rPr>
          <w:spacing w:val="-40"/>
        </w:rPr>
        <w:t xml:space="preserve"> </w:t>
      </w:r>
      <w:r>
        <w:t>GB</w:t>
      </w:r>
      <w:r>
        <w:rPr>
          <w:spacing w:val="-20"/>
        </w:rPr>
        <w:t xml:space="preserve"> </w:t>
      </w:r>
      <w:r>
        <w:rPr>
          <w:spacing w:val="9"/>
        </w:rPr>
        <w:t>8624《建筑材料及制品燃</w:t>
      </w:r>
      <w:r>
        <w:t xml:space="preserve"> </w:t>
      </w:r>
      <w:r>
        <w:rPr>
          <w:spacing w:val="10"/>
        </w:rPr>
        <w:t>烧性能分级》强制性国家标准，对企业声称的燃烧性能分级</w:t>
      </w:r>
      <w:r>
        <w:rPr>
          <w:spacing w:val="9"/>
        </w:rPr>
        <w:t>进行测试和判定。对执行</w:t>
      </w:r>
      <w:r>
        <w:rPr>
          <w:spacing w:val="-41"/>
        </w:rPr>
        <w:t xml:space="preserve"> </w:t>
      </w:r>
      <w:r>
        <w:t>GB</w:t>
      </w:r>
      <w:r>
        <w:rPr>
          <w:spacing w:val="6"/>
        </w:rPr>
        <w:t>/T</w:t>
      </w:r>
      <w:r>
        <w:rPr>
          <w:spacing w:val="-15"/>
        </w:rPr>
        <w:t xml:space="preserve"> </w:t>
      </w:r>
      <w:r>
        <w:rPr>
          <w:spacing w:val="6"/>
        </w:rPr>
        <w:t>10801.2</w:t>
      </w:r>
      <w:r>
        <w:rPr>
          <w:spacing w:val="-26"/>
        </w:rPr>
        <w:t xml:space="preserve"> </w:t>
      </w:r>
      <w:r>
        <w:rPr>
          <w:spacing w:val="6"/>
        </w:rPr>
        <w:t>的用于墙面保温</w:t>
      </w:r>
      <w:r>
        <w:rPr>
          <w:spacing w:val="5"/>
        </w:rPr>
        <w:t>且声称</w:t>
      </w:r>
      <w:r>
        <w:rPr>
          <w:spacing w:val="-39"/>
        </w:rPr>
        <w:t xml:space="preserve"> </w:t>
      </w:r>
      <w:r>
        <w:rPr>
          <w:spacing w:val="5"/>
        </w:rPr>
        <w:t>B</w:t>
      </w:r>
      <w:r>
        <w:rPr>
          <w:spacing w:val="5"/>
          <w:position w:val="-3"/>
          <w:sz w:val="10"/>
          <w:szCs w:val="10"/>
        </w:rPr>
        <w:t>1</w:t>
      </w:r>
      <w:r>
        <w:rPr>
          <w:spacing w:val="-13"/>
          <w:position w:val="-3"/>
          <w:sz w:val="10"/>
          <w:szCs w:val="10"/>
        </w:rPr>
        <w:t xml:space="preserve"> </w:t>
      </w:r>
      <w:r>
        <w:rPr>
          <w:spacing w:val="5"/>
        </w:rPr>
        <w:t>或</w:t>
      </w:r>
      <w:r>
        <w:rPr>
          <w:spacing w:val="-44"/>
        </w:rPr>
        <w:t xml:space="preserve"> </w:t>
      </w:r>
      <w:r>
        <w:rPr>
          <w:spacing w:val="5"/>
        </w:rPr>
        <w:t>B</w:t>
      </w:r>
      <w:r>
        <w:rPr>
          <w:spacing w:val="5"/>
          <w:position w:val="-3"/>
          <w:sz w:val="10"/>
          <w:szCs w:val="10"/>
        </w:rPr>
        <w:t>2</w:t>
      </w:r>
      <w:r>
        <w:rPr>
          <w:spacing w:val="-13"/>
          <w:position w:val="-3"/>
          <w:sz w:val="10"/>
          <w:szCs w:val="10"/>
        </w:rPr>
        <w:t xml:space="preserve"> </w:t>
      </w:r>
      <w:r>
        <w:rPr>
          <w:spacing w:val="5"/>
        </w:rPr>
        <w:t>级的泡沫塑料，需按照</w:t>
      </w:r>
      <w:r>
        <w:t xml:space="preserve"> GB</w:t>
      </w:r>
      <w:r>
        <w:rPr>
          <w:spacing w:val="5"/>
        </w:rPr>
        <w:t>/T 2406.2</w:t>
      </w:r>
      <w:r>
        <w:rPr>
          <w:spacing w:val="-26"/>
        </w:rPr>
        <w:t xml:space="preserve"> </w:t>
      </w:r>
      <w:r>
        <w:rPr>
          <w:spacing w:val="5"/>
        </w:rPr>
        <w:t>加测氧指数。</w:t>
      </w:r>
    </w:p>
    <w:p>
      <w:pPr>
        <w:pStyle w:val="2"/>
        <w:spacing w:before="129" w:line="418" w:lineRule="auto"/>
        <w:ind w:left="145" w:right="13" w:firstLine="398"/>
      </w:pPr>
      <w:r>
        <w:rPr>
          <w:spacing w:val="7"/>
        </w:rPr>
        <w:t>上表所列检验项目是有关法律法规、标准等规定的，重点涉及健康、安全、节能、环保</w:t>
      </w:r>
      <w:r>
        <w:rPr>
          <w:spacing w:val="12"/>
        </w:rPr>
        <w:t xml:space="preserve"> </w:t>
      </w:r>
      <w:r>
        <w:rPr>
          <w:spacing w:val="8"/>
        </w:rPr>
        <w:t>以及消费者、有关组织反映有质量问题的重要项目。</w:t>
      </w:r>
    </w:p>
    <w:p>
      <w:pPr>
        <w:pStyle w:val="2"/>
        <w:spacing w:before="30" w:line="228" w:lineRule="auto"/>
        <w:ind w:left="541"/>
      </w:pPr>
      <w:r>
        <w:rPr>
          <w:spacing w:val="9"/>
        </w:rPr>
        <w:t>执行企业标准、团体标准、地方标准的产品，检验项目参照上述内容执行。</w:t>
      </w:r>
    </w:p>
    <w:p>
      <w:pPr>
        <w:pStyle w:val="2"/>
        <w:spacing w:before="222" w:line="227" w:lineRule="auto"/>
        <w:ind w:right="13"/>
        <w:jc w:val="right"/>
      </w:pPr>
      <w:r>
        <w:rPr>
          <w:spacing w:val="7"/>
        </w:rPr>
        <w:t>凡是注日期的文件，其随后所有的修改单（不包括勘误的内容）或修订版不适用于本细</w:t>
      </w:r>
    </w:p>
    <w:p>
      <w:pPr>
        <w:pStyle w:val="2"/>
        <w:spacing w:before="222" w:line="227" w:lineRule="auto"/>
        <w:ind w:left="125"/>
      </w:pPr>
      <w:r>
        <w:rPr>
          <w:spacing w:val="9"/>
        </w:rPr>
        <w:t>则。凡是不注日期的文件，其最新版本适用于本细则。</w:t>
      </w:r>
    </w:p>
    <w:p>
      <w:pPr>
        <w:pStyle w:val="2"/>
        <w:spacing w:before="124" w:line="228" w:lineRule="auto"/>
        <w:ind w:left="125"/>
        <w:outlineLvl w:val="1"/>
      </w:pPr>
      <w:r>
        <w:rPr>
          <w:b/>
          <w:bCs/>
          <w:spacing w:val="3"/>
        </w:rPr>
        <w:t>3</w:t>
      </w:r>
      <w:r>
        <w:rPr>
          <w:spacing w:val="14"/>
        </w:rPr>
        <w:t xml:space="preserve"> </w:t>
      </w:r>
      <w:r>
        <w:rPr>
          <w:b/>
          <w:bCs/>
          <w:spacing w:val="3"/>
        </w:rPr>
        <w:t>判定规则</w:t>
      </w:r>
    </w:p>
    <w:p>
      <w:pPr>
        <w:pStyle w:val="2"/>
        <w:spacing w:before="160" w:line="227" w:lineRule="auto"/>
        <w:ind w:left="125"/>
        <w:rPr>
          <w:spacing w:val="4"/>
        </w:rPr>
      </w:pPr>
      <w:r>
        <w:rPr>
          <w:spacing w:val="4"/>
        </w:rPr>
        <w:t>3.1</w:t>
      </w:r>
      <w:r>
        <w:rPr>
          <w:spacing w:val="-37"/>
        </w:rPr>
        <w:t xml:space="preserve"> </w:t>
      </w:r>
      <w:r>
        <w:rPr>
          <w:spacing w:val="4"/>
        </w:rPr>
        <w:t>标准依据</w:t>
      </w:r>
    </w:p>
    <w:p>
      <w:pPr>
        <w:spacing w:line="360" w:lineRule="auto"/>
        <w:ind w:firstLine="420" w:firstLineChars="200"/>
        <w:jc w:val="left"/>
        <w:rPr>
          <w:rStyle w:val="7"/>
          <w:rFonts w:hint="eastAsia" w:asciiTheme="minorEastAsia" w:hAnsiTheme="minorEastAsia" w:eastAsiaTheme="minorEastAsia" w:cstheme="minorEastAsia"/>
          <w:color w:val="auto"/>
          <w:sz w:val="21"/>
          <w:szCs w:val="21"/>
        </w:rPr>
      </w:pPr>
      <w:r>
        <w:rPr>
          <w:rStyle w:val="7"/>
          <w:rFonts w:hint="eastAsia" w:asciiTheme="minorEastAsia" w:hAnsiTheme="minorEastAsia" w:eastAsiaTheme="minorEastAsia" w:cstheme="minorEastAsia"/>
          <w:color w:val="auto"/>
          <w:sz w:val="21"/>
          <w:szCs w:val="21"/>
        </w:rPr>
        <w:t>GB/T 10801.2《绝热用挤塑聚苯乙烯泡沫塑料（XPS）》</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相关的法律、行政法规、部门规章、规范性文件</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现行有效的企业标准、团体标准、地方标准及产品明示质量要求</w:t>
      </w:r>
    </w:p>
    <w:p>
      <w:pPr>
        <w:spacing w:before="20"/>
      </w:pPr>
    </w:p>
    <w:p>
      <w:pPr>
        <w:pStyle w:val="2"/>
        <w:spacing w:before="54" w:line="228" w:lineRule="auto"/>
        <w:ind w:left="125"/>
      </w:pPr>
      <w:r>
        <w:rPr>
          <w:spacing w:val="4"/>
        </w:rPr>
        <w:t>3.2</w:t>
      </w:r>
      <w:r>
        <w:rPr>
          <w:spacing w:val="-37"/>
        </w:rPr>
        <w:t xml:space="preserve"> </w:t>
      </w:r>
      <w:r>
        <w:rPr>
          <w:spacing w:val="4"/>
        </w:rPr>
        <w:t>判定原则</w:t>
      </w:r>
    </w:p>
    <w:p>
      <w:pPr>
        <w:pStyle w:val="2"/>
        <w:spacing w:before="301" w:line="228" w:lineRule="auto"/>
        <w:ind w:right="13"/>
        <w:jc w:val="right"/>
      </w:pPr>
      <w:r>
        <w:rPr>
          <w:spacing w:val="7"/>
        </w:rPr>
        <w:t>经检验，检验项目全部合格，判定为被抽查产品所检项目未发现不合格；检验项目中任</w:t>
      </w:r>
    </w:p>
    <w:p>
      <w:pPr>
        <w:pStyle w:val="2"/>
        <w:spacing w:before="180" w:line="228" w:lineRule="auto"/>
        <w:ind w:left="23"/>
      </w:pPr>
      <w:r>
        <w:rPr>
          <w:spacing w:val="9"/>
        </w:rPr>
        <w:t>一项或一项以上不合格，判定为被抽查产品不合</w:t>
      </w:r>
      <w:r>
        <w:rPr>
          <w:spacing w:val="8"/>
        </w:rPr>
        <w:t>格。</w:t>
      </w:r>
    </w:p>
    <w:p>
      <w:pPr>
        <w:pStyle w:val="2"/>
        <w:spacing w:before="195" w:line="391" w:lineRule="auto"/>
        <w:ind w:left="20" w:right="11" w:firstLine="417"/>
      </w:pPr>
      <w:r>
        <w:rPr>
          <w:spacing w:val="7"/>
        </w:rPr>
        <w:t>若被检产品明示的质量要求高于本细则中检验项目依据的标准要求时，应按被检产品明</w:t>
      </w:r>
      <w:r>
        <w:rPr>
          <w:spacing w:val="17"/>
        </w:rPr>
        <w:t xml:space="preserve"> </w:t>
      </w:r>
      <w:r>
        <w:rPr>
          <w:spacing w:val="7"/>
        </w:rPr>
        <w:t>示的质量要求判定。</w:t>
      </w:r>
    </w:p>
    <w:p>
      <w:pPr>
        <w:pStyle w:val="2"/>
        <w:spacing w:before="31" w:line="393" w:lineRule="auto"/>
        <w:ind w:left="20" w:right="13" w:firstLine="417"/>
      </w:pPr>
      <w:r>
        <w:rPr>
          <w:spacing w:val="7"/>
        </w:rPr>
        <w:t>若被检产品明示的质量要求低于本细则中检验项目依据的强制性标准要求时，应按照强</w:t>
      </w:r>
      <w:r>
        <w:rPr>
          <w:spacing w:val="15"/>
        </w:rPr>
        <w:t xml:space="preserve"> </w:t>
      </w:r>
      <w:r>
        <w:rPr>
          <w:spacing w:val="7"/>
        </w:rPr>
        <w:t>制性标准要求判定。</w:t>
      </w:r>
    </w:p>
    <w:p>
      <w:pPr>
        <w:pStyle w:val="2"/>
        <w:spacing w:before="28" w:line="390" w:lineRule="auto"/>
        <w:ind w:left="19" w:right="13" w:firstLine="418"/>
      </w:pPr>
      <w:r>
        <w:rPr>
          <w:spacing w:val="7"/>
        </w:rPr>
        <w:t>若被检产品明示的质量要求低于或包含细则中检验项目依据的推荐性标准要求时，应以</w:t>
      </w:r>
      <w:r>
        <w:rPr>
          <w:spacing w:val="15"/>
        </w:rPr>
        <w:t xml:space="preserve"> </w:t>
      </w:r>
      <w:r>
        <w:rPr>
          <w:spacing w:val="9"/>
        </w:rPr>
        <w:t>被检产品明示的质量要求判定，但应在检验报告备注中进行说明。</w:t>
      </w:r>
    </w:p>
    <w:p>
      <w:pPr>
        <w:pStyle w:val="2"/>
        <w:spacing w:before="35" w:line="391" w:lineRule="auto"/>
        <w:ind w:left="20" w:right="13" w:firstLine="417"/>
      </w:pPr>
      <w:r>
        <w:rPr>
          <w:spacing w:val="7"/>
        </w:rPr>
        <w:t>若被检产品明示的质量要求缺少本细则中检验项目依据的强制性标准要求时，应按照强</w:t>
      </w:r>
      <w:r>
        <w:rPr>
          <w:spacing w:val="15"/>
        </w:rPr>
        <w:t xml:space="preserve"> </w:t>
      </w:r>
      <w:r>
        <w:rPr>
          <w:spacing w:val="7"/>
        </w:rPr>
        <w:t>制性标准要求判定。</w:t>
      </w:r>
    </w:p>
    <w:p>
      <w:pPr>
        <w:pStyle w:val="2"/>
        <w:spacing w:before="32" w:line="392" w:lineRule="auto"/>
        <w:ind w:left="21" w:right="13" w:firstLine="416"/>
      </w:pPr>
      <w:r>
        <w:rPr>
          <w:spacing w:val="7"/>
        </w:rPr>
        <w:t>若被检产品明示的质量要求缺少本细则中检验项目依据的推荐性标准要求时，该项目不</w:t>
      </w:r>
      <w:r>
        <w:rPr>
          <w:spacing w:val="15"/>
        </w:rPr>
        <w:t xml:space="preserve"> </w:t>
      </w:r>
      <w:r>
        <w:rPr>
          <w:spacing w:val="8"/>
        </w:rPr>
        <w:t>参与判定，但应在检验报告备注中进行说明。</w:t>
      </w:r>
    </w:p>
    <w:p>
      <w:pPr>
        <w:pStyle w:val="2"/>
        <w:spacing w:before="30" w:line="228" w:lineRule="auto"/>
        <w:ind w:left="19"/>
        <w:outlineLvl w:val="1"/>
      </w:pPr>
      <w:r>
        <w:rPr>
          <w:b/>
          <w:bCs/>
          <w:spacing w:val="3"/>
        </w:rPr>
        <w:t>4</w:t>
      </w:r>
      <w:r>
        <w:rPr>
          <w:spacing w:val="19"/>
        </w:rPr>
        <w:t xml:space="preserve"> </w:t>
      </w:r>
      <w:r>
        <w:rPr>
          <w:b/>
          <w:bCs/>
          <w:spacing w:val="3"/>
        </w:rPr>
        <w:t>异议复检</w:t>
      </w:r>
    </w:p>
    <w:p>
      <w:pPr>
        <w:pStyle w:val="2"/>
        <w:spacing w:before="193" w:line="227" w:lineRule="auto"/>
        <w:ind w:left="438"/>
      </w:pPr>
      <w:r>
        <w:rPr>
          <w:spacing w:val="9"/>
        </w:rPr>
        <w:t>本细则中确定的全部检验项目，采用备用样品进行复检。</w:t>
      </w:r>
    </w:p>
    <w:sectPr>
      <w:footerReference r:id="rId5" w:type="default"/>
      <w:pgSz w:w="11906" w:h="16839"/>
      <w:pgMar w:top="1431" w:right="1785" w:bottom="1362" w:left="1785" w:header="0" w:footer="120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25"/>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jMzYzcxNmFjOWU0MDU0NjVlZWM4NTczMTA1ZTYwMDYifQ=="/>
  </w:docVars>
  <w:rsids>
    <w:rsidRoot w:val="00000000"/>
    <w:rsid w:val="08215F7C"/>
    <w:rsid w:val="261E3BA2"/>
    <w:rsid w:val="276303CC"/>
    <w:rsid w:val="4C3824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 w:type="character" w:customStyle="1" w:styleId="7">
    <w:name w:val="Body text_"/>
    <w:link w:val="8"/>
    <w:qFormat/>
    <w:uiPriority w:val="0"/>
    <w:rPr>
      <w:rFonts w:ascii="MingLiU" w:eastAsia="MingLiU" w:cs="MingLiU"/>
      <w:sz w:val="19"/>
      <w:szCs w:val="19"/>
    </w:rPr>
  </w:style>
  <w:style w:type="paragraph" w:customStyle="1" w:styleId="8">
    <w:name w:val="正文文本1"/>
    <w:basedOn w:val="1"/>
    <w:link w:val="7"/>
    <w:qFormat/>
    <w:uiPriority w:val="0"/>
    <w:pPr>
      <w:shd w:val="clear" w:color="auto" w:fill="FFFFFF"/>
      <w:spacing w:before="1320" w:after="60" w:line="322" w:lineRule="exact"/>
      <w:jc w:val="distribute"/>
    </w:pPr>
    <w:rPr>
      <w:rFonts w:ascii="MingLiU" w:eastAsia="MingLiU" w:cs="MingLiU"/>
      <w:sz w:val="19"/>
      <w:szCs w:val="19"/>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1120</Words>
  <Characters>1261</Characters>
  <TotalTime>0</TotalTime>
  <ScaleCrop>false</ScaleCrop>
  <LinksUpToDate>false</LinksUpToDate>
  <CharactersWithSpaces>1310</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Legend User</dc:creator>
  <cp:lastModifiedBy>小帅</cp:lastModifiedBy>
  <dcterms:modified xsi:type="dcterms:W3CDTF">2024-06-21T00:42:42Z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2024-06-17T09:51:56Z</vt:filetime>
  </property>
  <property fmtid="{D5CDD505-2E9C-101B-9397-08002B2CF9AE}" pid="4" name="KSOProductBuildVer">
    <vt:lpwstr>2052-12.1.0.16929</vt:lpwstr>
  </property>
  <property fmtid="{D5CDD505-2E9C-101B-9397-08002B2CF9AE}" pid="5" name="ICV">
    <vt:lpwstr>1F043EEDB08B48C9AEE1DE934CEB7CBB_13</vt:lpwstr>
  </property>
</Properties>
</file>