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食品接触用塑料包装容器、工具等制品产品质量监督抽查实施细则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kinsoku/>
        <w:wordWrap/>
        <w:overflowPunct/>
        <w:topLinePunct w:val="0"/>
        <w:autoSpaceDE/>
        <w:autoSpaceDN/>
        <w:bidi w:val="0"/>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kinsoku/>
        <w:wordWrap/>
        <w:overflowPunct/>
        <w:topLinePunct w:val="0"/>
        <w:autoSpaceDE/>
        <w:autoSpaceDN/>
        <w:bidi w:val="0"/>
        <w:snapToGrid w:val="0"/>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kinsoku/>
        <w:wordWrap/>
        <w:overflowPunct/>
        <w:topLinePunct w:val="0"/>
        <w:autoSpaceDE/>
        <w:autoSpaceDN/>
        <w:bidi w:val="0"/>
        <w:snapToGrid w:val="0"/>
        <w:spacing w:line="360" w:lineRule="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cs="宋体"/>
          <w:color w:val="000000"/>
          <w:sz w:val="28"/>
          <w:szCs w:val="28"/>
          <w:lang w:val="en-US" w:eastAsia="zh-CN"/>
        </w:rPr>
      </w:pPr>
      <w:r>
        <w:rPr>
          <w:rFonts w:hint="default" w:ascii="宋体" w:hAnsi="宋体" w:cs="宋体"/>
          <w:color w:val="000000"/>
          <w:sz w:val="28"/>
          <w:szCs w:val="28"/>
          <w:lang w:val="en-US" w:eastAsia="zh-CN"/>
        </w:rPr>
        <w:t>抽查产品种类包括食品接触用塑料包装容器（包含但不限于聚酯(PET)无汽饮料瓶，聚对苯二甲酸乙二醇酯（PET）饮品瓶，聚碳酸酯（PC）饮用水罐，聚对苯二甲酸乙二醇酯（PET）瓶坯，塑料瓶盖、垫片，其他类塑料瓶坯、塑料桶、杯、瓶、盒）、食品接触用塑料包装工具（包含但不限于刀、叉、勺、盒、碗、杯等塑料餐具，聚丙烯饮用吸管，塑料菜板）。</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w:t>
      </w:r>
      <w:bookmarkStart w:id="0" w:name="_GoBack"/>
      <w:bookmarkEnd w:id="0"/>
      <w:r>
        <w:rPr>
          <w:rFonts w:hint="eastAsia" w:ascii="宋体" w:hAnsi="宋体" w:cs="宋体"/>
          <w:b/>
          <w:bCs/>
          <w:color w:val="000000"/>
          <w:sz w:val="28"/>
          <w:szCs w:val="28"/>
          <w:lang w:val="en-US" w:eastAsia="zh-CN"/>
        </w:rPr>
        <w:t>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highlight w:val="none"/>
          <w:lang w:val="en-US" w:eastAsia="zh-CN"/>
        </w:rPr>
      </w:pPr>
      <w:r>
        <w:rPr>
          <w:rFonts w:hint="eastAsia" w:ascii="宋体" w:hAnsi="宋体" w:eastAsia="宋体" w:cs="宋体"/>
          <w:color w:val="000000"/>
          <w:sz w:val="28"/>
          <w:szCs w:val="28"/>
          <w:highlight w:val="none"/>
          <w:lang w:val="en-US" w:eastAsia="zh-CN"/>
        </w:rPr>
        <w:t>每批次抽样数量详见表1。</w:t>
      </w:r>
    </w:p>
    <w:p>
      <w:pPr>
        <w:keepNext w:val="0"/>
        <w:keepLines w:val="0"/>
        <w:pageBreakBefore w:val="0"/>
        <w:kinsoku/>
        <w:wordWrap/>
        <w:overflowPunct/>
        <w:topLinePunct w:val="0"/>
        <w:autoSpaceDE/>
        <w:autoSpaceDN/>
        <w:bidi w:val="0"/>
        <w:snapToGrid w:val="0"/>
        <w:spacing w:line="360" w:lineRule="auto"/>
        <w:ind w:firstLine="560" w:firstLineChars="200"/>
        <w:jc w:val="center"/>
        <w:rPr>
          <w:rFonts w:hint="eastAsia" w:ascii="宋体" w:hAnsi="宋体" w:eastAsia="宋体" w:cs="宋体"/>
          <w:color w:val="000000"/>
          <w:sz w:val="28"/>
          <w:szCs w:val="28"/>
        </w:rPr>
      </w:pPr>
      <w:r>
        <w:rPr>
          <w:rFonts w:hint="eastAsia" w:ascii="宋体" w:hAnsi="宋体" w:eastAsia="宋体" w:cs="宋体"/>
          <w:color w:val="000000"/>
          <w:sz w:val="28"/>
          <w:szCs w:val="28"/>
        </w:rPr>
        <w:t>表1 抽取样品数量</w:t>
      </w:r>
    </w:p>
    <w:tbl>
      <w:tblPr>
        <w:tblStyle w:val="5"/>
        <w:tblW w:w="9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1139"/>
        <w:gridCol w:w="3259"/>
        <w:gridCol w:w="1305"/>
        <w:gridCol w:w="144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auto"/>
              <w:outlineLvl w:val="0"/>
              <w:rPr>
                <w:rFonts w:hint="eastAsia" w:ascii="宋体" w:hAnsi="宋体" w:eastAsia="宋体" w:cs="宋体"/>
                <w:b w:val="0"/>
                <w:bCs/>
                <w:color w:val="000000"/>
                <w:sz w:val="28"/>
                <w:szCs w:val="28"/>
                <w:lang w:eastAsia="zh-CN"/>
              </w:rPr>
            </w:pPr>
            <w:r>
              <w:rPr>
                <w:rFonts w:hint="eastAsia" w:ascii="宋体" w:hAnsi="宋体" w:eastAsia="宋体" w:cs="宋体"/>
                <w:b w:val="0"/>
                <w:bCs/>
                <w:color w:val="000000"/>
                <w:sz w:val="28"/>
                <w:szCs w:val="28"/>
                <w:lang w:eastAsia="zh-CN"/>
              </w:rPr>
              <w:t>序号</w:t>
            </w:r>
          </w:p>
        </w:tc>
        <w:tc>
          <w:tcPr>
            <w:tcW w:w="439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val="0"/>
              <w:bidi w:val="0"/>
              <w:adjustRightInd w:val="0"/>
              <w:snapToGrid/>
              <w:spacing w:line="240" w:lineRule="auto"/>
              <w:jc w:val="center"/>
              <w:textAlignment w:val="auto"/>
              <w:rPr>
                <w:rFonts w:hint="eastAsia" w:ascii="宋体" w:hAnsi="宋体" w:eastAsia="宋体" w:cs="宋体"/>
                <w:b w:val="0"/>
                <w:bCs/>
                <w:color w:val="000000"/>
                <w:sz w:val="28"/>
                <w:szCs w:val="28"/>
              </w:rPr>
            </w:pPr>
            <w:r>
              <w:rPr>
                <w:rFonts w:hint="eastAsia" w:ascii="宋体" w:hAnsi="宋体" w:eastAsia="宋体" w:cs="宋体"/>
                <w:kern w:val="0"/>
                <w:sz w:val="28"/>
                <w:szCs w:val="28"/>
              </w:rPr>
              <w:t>产品名称</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val="0"/>
              <w:autoSpaceDN w:val="0"/>
              <w:bidi w:val="0"/>
              <w:adjustRightInd w:val="0"/>
              <w:snapToGrid/>
              <w:spacing w:line="240" w:lineRule="auto"/>
              <w:jc w:val="center"/>
              <w:textAlignment w:val="auto"/>
              <w:rPr>
                <w:rFonts w:hint="eastAsia" w:ascii="宋体" w:hAnsi="宋体" w:eastAsia="宋体" w:cs="宋体"/>
                <w:b w:val="0"/>
                <w:bCs/>
                <w:color w:val="000000"/>
                <w:sz w:val="28"/>
                <w:szCs w:val="28"/>
              </w:rPr>
            </w:pPr>
            <w:r>
              <w:rPr>
                <w:rFonts w:hint="eastAsia" w:ascii="宋体" w:hAnsi="宋体" w:eastAsia="宋体" w:cs="宋体"/>
                <w:kern w:val="0"/>
                <w:sz w:val="28"/>
                <w:szCs w:val="28"/>
              </w:rPr>
              <w:t>抽样数量（</w:t>
            </w:r>
            <w:r>
              <w:rPr>
                <w:rFonts w:hint="eastAsia" w:ascii="宋体" w:hAnsi="宋体" w:eastAsia="宋体" w:cs="宋体"/>
                <w:kern w:val="0"/>
                <w:sz w:val="28"/>
                <w:szCs w:val="28"/>
                <w:lang w:eastAsia="zh-CN"/>
              </w:rPr>
              <w:t>个</w:t>
            </w:r>
            <w:r>
              <w:rPr>
                <w:rFonts w:hint="eastAsia" w:ascii="宋体" w:hAnsi="宋体" w:eastAsia="宋体" w:cs="宋体"/>
                <w:kern w:val="0"/>
                <w:sz w:val="28"/>
                <w:szCs w:val="28"/>
              </w:rPr>
              <w:t>）</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auto"/>
              <w:rPr>
                <w:rFonts w:hint="eastAsia" w:ascii="宋体" w:hAnsi="宋体" w:eastAsia="宋体" w:cs="宋体"/>
                <w:b w:val="0"/>
                <w:bCs/>
                <w:color w:val="000000"/>
                <w:sz w:val="28"/>
                <w:szCs w:val="28"/>
              </w:rPr>
            </w:pPr>
            <w:r>
              <w:rPr>
                <w:rFonts w:hint="eastAsia" w:ascii="宋体" w:hAnsi="宋体" w:eastAsia="宋体" w:cs="宋体"/>
                <w:color w:val="000000"/>
                <w:sz w:val="28"/>
                <w:szCs w:val="28"/>
              </w:rPr>
              <w:t>检验样品数量</w:t>
            </w:r>
            <w:r>
              <w:rPr>
                <w:rFonts w:hint="eastAsia" w:ascii="宋体" w:hAnsi="宋体" w:eastAsia="宋体" w:cs="宋体"/>
                <w:kern w:val="0"/>
                <w:sz w:val="28"/>
                <w:szCs w:val="28"/>
              </w:rPr>
              <w:t>（</w:t>
            </w:r>
            <w:r>
              <w:rPr>
                <w:rFonts w:hint="eastAsia" w:ascii="宋体" w:hAnsi="宋体" w:eastAsia="宋体" w:cs="宋体"/>
                <w:kern w:val="0"/>
                <w:sz w:val="28"/>
                <w:szCs w:val="28"/>
                <w:lang w:eastAsia="zh-CN"/>
              </w:rPr>
              <w:t>个</w:t>
            </w:r>
            <w:r>
              <w:rPr>
                <w:rFonts w:hint="eastAsia" w:ascii="宋体" w:hAnsi="宋体" w:eastAsia="宋体" w:cs="宋体"/>
                <w:kern w:val="0"/>
                <w:sz w:val="28"/>
                <w:szCs w:val="28"/>
              </w:rPr>
              <w:t>）</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auto"/>
              <w:rPr>
                <w:rFonts w:hint="eastAsia" w:ascii="宋体" w:hAnsi="宋体" w:eastAsia="宋体" w:cs="宋体"/>
                <w:b w:val="0"/>
                <w:bCs/>
                <w:color w:val="000000"/>
                <w:sz w:val="28"/>
                <w:szCs w:val="28"/>
              </w:rPr>
            </w:pPr>
            <w:r>
              <w:rPr>
                <w:rFonts w:hint="eastAsia" w:ascii="宋体" w:hAnsi="宋体" w:eastAsia="宋体" w:cs="宋体"/>
                <w:color w:val="000000"/>
                <w:sz w:val="28"/>
                <w:szCs w:val="28"/>
              </w:rPr>
              <w:t>备用样品数量</w:t>
            </w:r>
            <w:r>
              <w:rPr>
                <w:rFonts w:hint="eastAsia" w:ascii="宋体" w:hAnsi="宋体" w:eastAsia="宋体" w:cs="宋体"/>
                <w:kern w:val="0"/>
                <w:sz w:val="28"/>
                <w:szCs w:val="28"/>
              </w:rPr>
              <w:t>（</w:t>
            </w:r>
            <w:r>
              <w:rPr>
                <w:rFonts w:hint="eastAsia" w:ascii="宋体" w:hAnsi="宋体" w:eastAsia="宋体" w:cs="宋体"/>
                <w:kern w:val="0"/>
                <w:sz w:val="28"/>
                <w:szCs w:val="28"/>
                <w:lang w:eastAsia="zh-CN"/>
              </w:rPr>
              <w:t>个</w:t>
            </w:r>
            <w:r>
              <w:rPr>
                <w:rFonts w:hint="eastAsia" w:ascii="宋体" w:hAnsi="宋体" w:eastAsia="宋体" w:cs="宋体"/>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w:t>
            </w:r>
          </w:p>
        </w:tc>
        <w:tc>
          <w:tcPr>
            <w:tcW w:w="1139" w:type="dxa"/>
            <w:vMerge w:val="restart"/>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食品</w:t>
            </w:r>
            <w:r>
              <w:rPr>
                <w:rFonts w:hint="eastAsia" w:ascii="宋体" w:hAnsi="宋体" w:eastAsia="宋体" w:cs="宋体"/>
                <w:color w:val="000000"/>
                <w:sz w:val="28"/>
                <w:szCs w:val="28"/>
                <w:lang w:eastAsia="zh-CN"/>
              </w:rPr>
              <w:t>接触</w:t>
            </w:r>
            <w:r>
              <w:rPr>
                <w:rFonts w:hint="eastAsia" w:ascii="宋体" w:hAnsi="宋体" w:eastAsia="宋体" w:cs="宋体"/>
                <w:color w:val="000000"/>
                <w:sz w:val="28"/>
                <w:szCs w:val="28"/>
              </w:rPr>
              <w:t>用塑料</w:t>
            </w:r>
            <w:r>
              <w:rPr>
                <w:rFonts w:hint="eastAsia" w:ascii="宋体" w:hAnsi="宋体" w:eastAsia="宋体" w:cs="宋体"/>
                <w:color w:val="000000"/>
                <w:sz w:val="28"/>
                <w:szCs w:val="28"/>
                <w:lang w:val="en-US" w:eastAsia="zh-CN"/>
              </w:rPr>
              <w:t>包装</w:t>
            </w:r>
            <w:r>
              <w:rPr>
                <w:rFonts w:hint="eastAsia" w:ascii="宋体" w:hAnsi="宋体" w:eastAsia="宋体" w:cs="宋体"/>
                <w:color w:val="000000"/>
                <w:sz w:val="28"/>
                <w:szCs w:val="28"/>
              </w:rPr>
              <w:t>容器</w:t>
            </w:r>
          </w:p>
        </w:tc>
        <w:tc>
          <w:tcPr>
            <w:tcW w:w="32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eastAsia="zh-CN"/>
              </w:rPr>
              <w:t>聚酯(PET)无汽饮料瓶</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lang w:eastAsia="zh-CN"/>
              </w:rPr>
              <w:t>0</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40</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w:t>
            </w:r>
          </w:p>
        </w:tc>
        <w:tc>
          <w:tcPr>
            <w:tcW w:w="113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p>
        </w:tc>
        <w:tc>
          <w:tcPr>
            <w:tcW w:w="32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eastAsia="zh-CN"/>
              </w:rPr>
              <w:t>聚碳酸酯（PC）饮用水罐</w:t>
            </w:r>
          </w:p>
        </w:tc>
        <w:tc>
          <w:tcPr>
            <w:tcW w:w="13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eastAsia="zh-CN"/>
              </w:rPr>
              <w:t>30</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20</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w:t>
            </w:r>
          </w:p>
        </w:tc>
        <w:tc>
          <w:tcPr>
            <w:tcW w:w="1139"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eastAsia="zh-CN"/>
              </w:rPr>
              <w:t>聚对苯二甲酸乙二醇酯（PET）瓶坯</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4</w:t>
            </w:r>
            <w:r>
              <w:rPr>
                <w:rFonts w:hint="eastAsia" w:ascii="宋体" w:hAnsi="宋体" w:eastAsia="宋体" w:cs="宋体"/>
                <w:color w:val="000000"/>
                <w:sz w:val="28"/>
                <w:szCs w:val="28"/>
                <w:lang w:eastAsia="zh-CN"/>
              </w:rPr>
              <w:t>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30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4</w:t>
            </w:r>
          </w:p>
        </w:tc>
        <w:tc>
          <w:tcPr>
            <w:tcW w:w="1139"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塑料瓶坯，塑料桶、杯、瓶、盒</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eastAsia="zh-CN"/>
              </w:rPr>
              <w:t>30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20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w:t>
            </w:r>
          </w:p>
        </w:tc>
        <w:tc>
          <w:tcPr>
            <w:tcW w:w="1139"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塑料瓶盖、垫片</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10</w:t>
            </w:r>
            <w:r>
              <w:rPr>
                <w:rFonts w:hint="eastAsia" w:ascii="宋体" w:hAnsi="宋体" w:eastAsia="宋体" w:cs="宋体"/>
                <w:color w:val="000000"/>
                <w:sz w:val="28"/>
                <w:szCs w:val="28"/>
                <w:lang w:eastAsia="zh-CN"/>
              </w:rPr>
              <w:t>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6</w:t>
            </w:r>
          </w:p>
        </w:tc>
        <w:tc>
          <w:tcPr>
            <w:tcW w:w="1139"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食品接触用塑料包装工具</w:t>
            </w: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勺、叉、筷</w:t>
            </w:r>
            <w:r>
              <w:rPr>
                <w:rFonts w:hint="eastAsia" w:ascii="宋体" w:hAnsi="宋体" w:eastAsia="宋体" w:cs="宋体"/>
                <w:color w:val="000000"/>
                <w:sz w:val="28"/>
                <w:szCs w:val="28"/>
                <w:highlight w:val="none"/>
                <w:lang w:val="en-US" w:eastAsia="zh-CN"/>
              </w:rPr>
              <w:t>或容量小于500mL的碗、杯、</w:t>
            </w:r>
            <w:r>
              <w:rPr>
                <w:rFonts w:hint="eastAsia" w:ascii="宋体" w:hAnsi="宋体" w:eastAsia="宋体" w:cs="宋体"/>
                <w:color w:val="000000"/>
                <w:sz w:val="28"/>
                <w:szCs w:val="28"/>
                <w:lang w:val="en-US" w:eastAsia="zh-CN"/>
              </w:rPr>
              <w:t>罐、壶等塑料一次性餐具</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7</w:t>
            </w:r>
          </w:p>
        </w:tc>
        <w:tc>
          <w:tcPr>
            <w:tcW w:w="1139" w:type="dxa"/>
            <w:vMerge w:val="continue"/>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聚丙烯饮用吸管</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lang w:val="en-US"/>
              </w:rPr>
            </w:pPr>
            <w:r>
              <w:rPr>
                <w:rFonts w:hint="eastAsia" w:ascii="宋体" w:hAnsi="宋体" w:eastAsia="宋体" w:cs="宋体"/>
                <w:color w:val="000000"/>
                <w:sz w:val="28"/>
                <w:szCs w:val="28"/>
                <w:lang w:val="en-US" w:eastAsia="zh-CN"/>
              </w:rPr>
              <w:t>150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82"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8</w:t>
            </w:r>
          </w:p>
        </w:tc>
        <w:tc>
          <w:tcPr>
            <w:tcW w:w="1139" w:type="dxa"/>
            <w:vMerge w:val="continue"/>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p>
        </w:tc>
        <w:tc>
          <w:tcPr>
            <w:tcW w:w="3259"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color w:val="000000"/>
                <w:sz w:val="28"/>
                <w:szCs w:val="28"/>
                <w:lang w:val="en-US" w:eastAsia="zh-CN"/>
              </w:rPr>
              <w:t>塑料菜板</w:t>
            </w:r>
          </w:p>
        </w:tc>
        <w:tc>
          <w:tcPr>
            <w:tcW w:w="1305"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sz w:val="28"/>
                <w:szCs w:val="28"/>
                <w:lang w:val="en-US"/>
              </w:rPr>
            </w:pPr>
            <w:r>
              <w:rPr>
                <w:rFonts w:hint="eastAsia" w:ascii="宋体" w:hAnsi="宋体" w:eastAsia="宋体" w:cs="宋体"/>
                <w:color w:val="000000"/>
                <w:sz w:val="28"/>
                <w:szCs w:val="28"/>
                <w:lang w:val="en-US" w:eastAsia="zh-CN"/>
              </w:rPr>
              <w:t>20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c>
          <w:tcPr>
            <w:tcW w:w="1440" w:type="dxa"/>
            <w:noWrap w:val="0"/>
            <w:vAlign w:val="center"/>
          </w:tcPr>
          <w:p>
            <w:pPr>
              <w:keepNext w:val="0"/>
              <w:keepLines w:val="0"/>
              <w:pageBreakBefore w:val="0"/>
              <w:widowControl/>
              <w:kinsoku/>
              <w:wordWrap/>
              <w:overflowPunct/>
              <w:topLinePunct w:val="0"/>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w:t>
            </w: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 聚对苯二甲酸乙二醇酯（PET）瓶坯</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感官要</w:t>
            </w:r>
            <w:r>
              <w:rPr>
                <w:rFonts w:hint="eastAsia" w:ascii="宋体" w:hAnsi="宋体" w:eastAsia="宋体" w:cs="宋体"/>
                <w:spacing w:val="-3"/>
                <w:sz w:val="28"/>
                <w:szCs w:val="28"/>
              </w:rPr>
              <w:t>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cs="宋体"/>
                <w:sz w:val="28"/>
                <w:szCs w:val="28"/>
                <w:lang w:val="en-US" w:eastAsia="zh-CN"/>
              </w:rPr>
            </w:pPr>
            <w:r>
              <w:rPr>
                <w:rFonts w:hint="eastAsia" w:ascii="宋体" w:hAnsi="宋体" w:cs="宋体"/>
                <w:sz w:val="28"/>
                <w:szCs w:val="28"/>
                <w:lang w:val="en-US" w:eastAsia="zh-CN"/>
              </w:rPr>
              <w:t>GB 4806.7-2016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高锰酸钾消耗量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重金属（以Pb计）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脱色试验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GB 31604.7-2016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auto"/>
                <w:kern w:val="2"/>
                <w:sz w:val="28"/>
                <w:szCs w:val="28"/>
                <w:u w:val="none"/>
                <w:lang w:val="en-US" w:eastAsia="zh-CN" w:bidi="ar-SA"/>
              </w:rPr>
            </w:pPr>
            <w:r>
              <w:rPr>
                <w:rFonts w:hint="eastAsia" w:ascii="宋体" w:hAnsi="宋体" w:eastAsia="宋体" w:cs="宋体"/>
                <w:i w:val="0"/>
                <w:iCs w:val="0"/>
                <w:color w:val="auto"/>
                <w:kern w:val="2"/>
                <w:sz w:val="28"/>
                <w:szCs w:val="28"/>
                <w:u w:val="none"/>
                <w:lang w:val="en-US" w:eastAsia="zh-CN" w:bidi="ar-SA"/>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特定迁移量（以锑计）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31604.41-2016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31604.49-2023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特定迁</w:t>
            </w:r>
            <w:r>
              <w:rPr>
                <w:rFonts w:hint="eastAsia" w:ascii="宋体" w:hAnsi="宋体" w:eastAsia="宋体" w:cs="宋体"/>
                <w:spacing w:val="5"/>
                <w:sz w:val="28"/>
                <w:szCs w:val="28"/>
              </w:rPr>
              <w:t>移总量</w:t>
            </w:r>
            <w:r>
              <w:rPr>
                <w:rFonts w:hint="eastAsia" w:ascii="宋体" w:hAnsi="宋体" w:eastAsia="宋体" w:cs="宋体"/>
                <w:spacing w:val="11"/>
                <w:sz w:val="28"/>
                <w:szCs w:val="28"/>
              </w:rPr>
              <w:t>（以对苯二甲酸计）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31604.21-2016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1"/>
                <w:sz w:val="28"/>
                <w:szCs w:val="28"/>
              </w:rPr>
              <w:t>特定迁移总量（以乙二醇</w:t>
            </w:r>
            <w:r>
              <w:rPr>
                <w:rFonts w:hint="eastAsia" w:ascii="宋体" w:hAnsi="宋体" w:eastAsia="宋体" w:cs="宋体"/>
                <w:spacing w:val="-8"/>
                <w:sz w:val="28"/>
                <w:szCs w:val="28"/>
              </w:rPr>
              <w:t>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31604.44-2016</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cs="宋体"/>
          <w:sz w:val="28"/>
          <w:szCs w:val="28"/>
          <w:lang w:val="en-US" w:eastAsia="zh-CN"/>
        </w:rPr>
        <w:t>表3 塑料瓶坯、塑料桶、杯、瓶、盒、塑料瓶盖、垫片</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cs="宋体"/>
                <w:sz w:val="28"/>
                <w:szCs w:val="28"/>
                <w:lang w:val="en-US" w:eastAsia="zh-CN"/>
              </w:rPr>
            </w:pPr>
            <w:r>
              <w:rPr>
                <w:rFonts w:hint="eastAsia" w:ascii="宋体" w:hAnsi="宋体" w:cs="宋体"/>
                <w:sz w:val="28"/>
                <w:szCs w:val="28"/>
                <w:lang w:val="en-US" w:eastAsia="zh-CN"/>
              </w:rPr>
              <w:t>GB 4806.7-2016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高锰酸钾消耗量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5"/>
                <w:sz w:val="28"/>
                <w:szCs w:val="28"/>
              </w:rPr>
              <w:t>重金</w:t>
            </w:r>
            <w:r>
              <w:rPr>
                <w:rFonts w:hint="eastAsia" w:ascii="宋体" w:hAnsi="宋体" w:eastAsia="宋体" w:cs="宋体"/>
                <w:spacing w:val="-3"/>
                <w:sz w:val="28"/>
                <w:szCs w:val="28"/>
              </w:rPr>
              <w:t>属（以Pb计）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脱色试验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auto"/>
                <w:kern w:val="2"/>
                <w:sz w:val="28"/>
                <w:szCs w:val="28"/>
                <w:u w:val="none"/>
                <w:lang w:val="en-US" w:eastAsia="zh-CN" w:bidi="ar-SA"/>
              </w:rPr>
            </w:pPr>
            <w:r>
              <w:rPr>
                <w:rFonts w:hint="eastAsia" w:ascii="宋体" w:hAnsi="宋体" w:eastAsia="宋体" w:cs="宋体"/>
                <w:i w:val="0"/>
                <w:iCs w:val="0"/>
                <w:color w:val="auto"/>
                <w:kern w:val="2"/>
                <w:sz w:val="28"/>
                <w:szCs w:val="28"/>
                <w:u w:val="none"/>
                <w:lang w:val="en-US" w:eastAsia="zh-CN" w:bidi="ar-SA"/>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单体及其他起始物的特</w:t>
            </w:r>
            <w:r>
              <w:rPr>
                <w:rFonts w:hint="eastAsia" w:ascii="宋体" w:hAnsi="宋体" w:eastAsia="宋体" w:cs="宋体"/>
                <w:spacing w:val="-1"/>
                <w:sz w:val="28"/>
                <w:szCs w:val="28"/>
              </w:rPr>
              <w:t>定迁移限量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default"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特定迁移总量限量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最大残留量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表4 塑料一次性餐饮具</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cs="宋体"/>
                <w:sz w:val="28"/>
                <w:szCs w:val="28"/>
                <w:lang w:val="en-US" w:eastAsia="zh-CN"/>
              </w:rPr>
            </w:pPr>
            <w:r>
              <w:rPr>
                <w:rFonts w:hint="eastAsia" w:ascii="宋体" w:hAnsi="宋体" w:cs="宋体"/>
                <w:sz w:val="28"/>
                <w:szCs w:val="28"/>
                <w:lang w:val="en-US" w:eastAsia="zh-CN"/>
              </w:rPr>
              <w:t>GB 4806.7-2016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高锰酸钾消耗量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重金属（以Pb计）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脱色试验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auto"/>
                <w:kern w:val="2"/>
                <w:sz w:val="28"/>
                <w:szCs w:val="28"/>
                <w:u w:val="none"/>
                <w:lang w:val="en-US" w:eastAsia="zh-CN" w:bidi="ar-SA"/>
              </w:rPr>
            </w:pPr>
            <w:r>
              <w:rPr>
                <w:rFonts w:hint="eastAsia" w:ascii="宋体" w:hAnsi="宋体" w:eastAsia="宋体" w:cs="宋体"/>
                <w:i w:val="0"/>
                <w:iCs w:val="0"/>
                <w:color w:val="auto"/>
                <w:kern w:val="2"/>
                <w:sz w:val="28"/>
                <w:szCs w:val="28"/>
                <w:u w:val="none"/>
                <w:lang w:val="en-US" w:eastAsia="zh-CN" w:bidi="ar-SA"/>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单体及</w:t>
            </w:r>
            <w:r>
              <w:rPr>
                <w:rFonts w:hint="eastAsia" w:ascii="宋体" w:hAnsi="宋体" w:eastAsia="宋体" w:cs="宋体"/>
                <w:spacing w:val="-10"/>
                <w:sz w:val="28"/>
                <w:szCs w:val="28"/>
              </w:rPr>
              <w:t>其他起始物的特定迁移限量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0"/>
                <w:sz w:val="28"/>
                <w:szCs w:val="28"/>
              </w:rPr>
              <w:t>特定迁移总量限量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0"/>
                <w:sz w:val="28"/>
                <w:szCs w:val="28"/>
              </w:rPr>
              <w:t>最大</w:t>
            </w:r>
            <w:r>
              <w:rPr>
                <w:rFonts w:hint="eastAsia" w:ascii="宋体" w:hAnsi="宋体" w:eastAsia="宋体" w:cs="宋体"/>
                <w:spacing w:val="-15"/>
                <w:sz w:val="28"/>
                <w:szCs w:val="28"/>
              </w:rPr>
              <w:t>残留量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5"/>
                <w:sz w:val="28"/>
                <w:szCs w:val="28"/>
              </w:rPr>
              <w:t>大肠菌群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5"/>
                <w:sz w:val="28"/>
                <w:szCs w:val="28"/>
              </w:rPr>
              <w:t>沙门氏菌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宋体" w:hAnsi="宋体" w:eastAsia="宋体" w:cs="宋体"/>
                <w:sz w:val="28"/>
                <w:szCs w:val="28"/>
                <w:lang w:val="en-US" w:eastAsia="zh-CN"/>
              </w:rPr>
            </w:pPr>
            <w:r>
              <w:rPr>
                <w:rFonts w:hint="eastAsia" w:ascii="宋体" w:hAnsi="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5"/>
                <w:sz w:val="28"/>
                <w:szCs w:val="28"/>
              </w:rPr>
              <w:t>霉菌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4789.15-2016</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宋体"/>
          <w:color w:val="00000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sz w:val="28"/>
          <w:szCs w:val="28"/>
        </w:rPr>
      </w:pPr>
      <w:r>
        <w:rPr>
          <w:rFonts w:hint="eastAsia" w:ascii="宋体" w:hAnsi="宋体" w:cs="宋体"/>
          <w:color w:val="000000"/>
          <w:sz w:val="28"/>
          <w:szCs w:val="28"/>
          <w:lang w:val="en-US" w:eastAsia="zh-CN"/>
        </w:rPr>
        <w:t>表5 聚丙烯饮用吸管、塑料菜板等其他食品用塑料包装（工具）</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cs="宋体"/>
                <w:sz w:val="28"/>
                <w:szCs w:val="28"/>
                <w:lang w:val="en-US" w:eastAsia="zh-CN"/>
              </w:rPr>
            </w:pPr>
            <w:r>
              <w:rPr>
                <w:rFonts w:hint="eastAsia" w:ascii="宋体" w:hAnsi="宋体" w:cs="宋体"/>
                <w:sz w:val="28"/>
                <w:szCs w:val="28"/>
                <w:lang w:val="en-US" w:eastAsia="zh-CN"/>
              </w:rPr>
              <w:t>GB 4806.7-2016</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总迁移量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高锰酸钾消耗量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重金属（以</w:t>
            </w:r>
            <w:r>
              <w:rPr>
                <w:rFonts w:hint="eastAsia" w:ascii="宋体" w:hAnsi="宋体" w:eastAsia="宋体" w:cs="宋体"/>
                <w:sz w:val="28"/>
                <w:szCs w:val="28"/>
              </w:rPr>
              <w:t>Pb</w:t>
            </w:r>
            <w:r>
              <w:rPr>
                <w:rFonts w:hint="eastAsia" w:ascii="宋体" w:hAnsi="宋体" w:eastAsia="宋体" w:cs="宋体"/>
                <w:spacing w:val="1"/>
                <w:sz w:val="28"/>
                <w:szCs w:val="28"/>
              </w:rPr>
              <w:t>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脱色试验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auto"/>
                <w:kern w:val="2"/>
                <w:sz w:val="28"/>
                <w:szCs w:val="28"/>
                <w:u w:val="none"/>
                <w:lang w:val="en-US" w:eastAsia="zh-CN" w:bidi="ar-SA"/>
              </w:rPr>
            </w:pPr>
            <w:r>
              <w:rPr>
                <w:rFonts w:hint="eastAsia" w:ascii="宋体" w:hAnsi="宋体" w:eastAsia="宋体" w:cs="宋体"/>
                <w:i w:val="0"/>
                <w:iCs w:val="0"/>
                <w:color w:val="auto"/>
                <w:kern w:val="2"/>
                <w:sz w:val="28"/>
                <w:szCs w:val="28"/>
                <w:u w:val="none"/>
                <w:lang w:val="en-US" w:eastAsia="zh-CN" w:bidi="ar-SA"/>
              </w:rPr>
              <w:t>GB 31604.7-2023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单体及其他起始物</w:t>
            </w:r>
            <w:r>
              <w:rPr>
                <w:rFonts w:hint="eastAsia" w:ascii="宋体" w:hAnsi="宋体" w:eastAsia="宋体" w:cs="宋体"/>
                <w:spacing w:val="-1"/>
                <w:sz w:val="28"/>
                <w:szCs w:val="28"/>
              </w:rPr>
              <w:t>的特定迁移限量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特定迁移总量限量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最大残留量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cs="宋体"/>
                <w:i w:val="0"/>
                <w:iCs w:val="0"/>
                <w:color w:val="000000"/>
                <w:kern w:val="2"/>
                <w:sz w:val="28"/>
                <w:szCs w:val="28"/>
                <w:u w:val="none"/>
                <w:lang w:val="en-US" w:eastAsia="zh-CN" w:bidi="ar-SA"/>
              </w:rPr>
              <w:t>相应食品安全国家标准</w:t>
            </w:r>
          </w:p>
        </w:tc>
      </w:tr>
    </w:tbl>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color w:val="00000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注：脱色试验项目，生产日期在 2024-03-06 之前的产品按照 GB 31604.7-2016 进行检验；生产日期在 2024-03-06 及之后的产品按照 GB 31604.7-2023 进行检验。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依照有关规定或产品适用标准，需要检测的其他项目，可视情况进行调整。</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4806.6-2016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食品接触用塑料树脂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4806.7-2016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4806.7-2023</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本细则中确定的除大肠菌群、沙门氏菌、霉菌以外的检验项目，采用备用样品进行复检。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本细则中确定的大肠菌群、沙门氏菌、霉菌检验项目，不进行复检。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159267E"/>
    <w:rsid w:val="05FC2062"/>
    <w:rsid w:val="09D23918"/>
    <w:rsid w:val="0ABF7EE6"/>
    <w:rsid w:val="0CA43CE5"/>
    <w:rsid w:val="0D883D44"/>
    <w:rsid w:val="0E032C8D"/>
    <w:rsid w:val="11020379"/>
    <w:rsid w:val="14FE4DDE"/>
    <w:rsid w:val="16A3500D"/>
    <w:rsid w:val="16D637EF"/>
    <w:rsid w:val="17874F94"/>
    <w:rsid w:val="1A670100"/>
    <w:rsid w:val="1B73636E"/>
    <w:rsid w:val="1CF33ECD"/>
    <w:rsid w:val="1D1B406E"/>
    <w:rsid w:val="1F7B6EFD"/>
    <w:rsid w:val="20574094"/>
    <w:rsid w:val="241910E8"/>
    <w:rsid w:val="283F2992"/>
    <w:rsid w:val="2B090CEE"/>
    <w:rsid w:val="2D643517"/>
    <w:rsid w:val="2EB87681"/>
    <w:rsid w:val="354B712F"/>
    <w:rsid w:val="3BC01C7E"/>
    <w:rsid w:val="40501560"/>
    <w:rsid w:val="41A80241"/>
    <w:rsid w:val="477E06E5"/>
    <w:rsid w:val="4D8B108D"/>
    <w:rsid w:val="5314122E"/>
    <w:rsid w:val="55414ED3"/>
    <w:rsid w:val="5BE157B4"/>
    <w:rsid w:val="5EA615D3"/>
    <w:rsid w:val="5ECA5E2A"/>
    <w:rsid w:val="5FF54104"/>
    <w:rsid w:val="617D28A5"/>
    <w:rsid w:val="645070A6"/>
    <w:rsid w:val="665F48FF"/>
    <w:rsid w:val="67582C8C"/>
    <w:rsid w:val="677248BA"/>
    <w:rsid w:val="68310C4D"/>
    <w:rsid w:val="6C096262"/>
    <w:rsid w:val="6C442433"/>
    <w:rsid w:val="6F16157F"/>
    <w:rsid w:val="714F34FE"/>
    <w:rsid w:val="71994AA6"/>
    <w:rsid w:val="736A4AB0"/>
    <w:rsid w:val="74323151"/>
    <w:rsid w:val="74AE7C10"/>
    <w:rsid w:val="77E24DBD"/>
    <w:rsid w:val="77F630BE"/>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character" w:customStyle="1" w:styleId="10">
    <w:name w:val="font01"/>
    <w:basedOn w:val="6"/>
    <w:qFormat/>
    <w:uiPriority w:val="0"/>
    <w:rPr>
      <w:rFonts w:hint="eastAsia" w:ascii="宋体" w:hAnsi="宋体" w:eastAsia="宋体" w:cs="宋体"/>
      <w:color w:val="000000"/>
      <w:sz w:val="22"/>
      <w:szCs w:val="22"/>
      <w:u w:val="none"/>
    </w:rPr>
  </w:style>
  <w:style w:type="character" w:customStyle="1" w:styleId="11">
    <w:name w:val="font1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1612</Words>
  <Characters>2124</Characters>
  <Lines>0</Lines>
  <Paragraphs>0</Paragraphs>
  <TotalTime>2</TotalTime>
  <ScaleCrop>false</ScaleCrop>
  <LinksUpToDate>false</LinksUpToDate>
  <CharactersWithSpaces>2186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2024-06-17T06:02:17Z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