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eastAsia" w:ascii="方正小标宋简体" w:hAnsi="方正小标宋简体" w:eastAsia="方正小标宋简体" w:cs="方正小标宋简体"/>
          <w:b/>
          <w:bCs w:val="0"/>
          <w:color w:val="000000"/>
          <w:sz w:val="32"/>
          <w:szCs w:val="32"/>
        </w:rPr>
      </w:pPr>
      <w:r>
        <w:rPr>
          <w:rFonts w:hint="eastAsia" w:ascii="宋体" w:hAnsi="宋体" w:eastAsia="宋体" w:cs="宋体"/>
          <w:b/>
          <w:bCs w:val="0"/>
          <w:color w:val="000000"/>
          <w:sz w:val="32"/>
          <w:szCs w:val="32"/>
          <w:lang w:eastAsia="zh-CN"/>
        </w:rPr>
        <w:t>枣庄市潜水电泵</w:t>
      </w:r>
      <w:r>
        <w:rPr>
          <w:rFonts w:hint="eastAsia" w:ascii="宋体" w:hAnsi="宋体" w:eastAsia="宋体" w:cs="宋体"/>
          <w:b/>
          <w:bCs w:val="0"/>
          <w:color w:val="000000"/>
          <w:sz w:val="32"/>
          <w:szCs w:val="32"/>
        </w:rPr>
        <w:t>产品质量监督抽查实施细则</w:t>
      </w:r>
    </w:p>
    <w:p>
      <w:pPr>
        <w:pStyle w:val="4"/>
        <w:widowControl/>
        <w:kinsoku w:val="0"/>
        <w:autoSpaceDE w:val="0"/>
        <w:autoSpaceDN w:val="0"/>
        <w:adjustRightInd w:val="0"/>
        <w:snapToGrid w:val="0"/>
        <w:spacing w:before="30" w:line="417" w:lineRule="auto"/>
        <w:ind w:left="5" w:firstLine="418"/>
        <w:jc w:val="left"/>
        <w:textAlignment w:val="baseline"/>
        <w:rPr>
          <w:rFonts w:hint="eastAsia"/>
          <w:b/>
          <w:bCs/>
          <w:snapToGrid w:val="0"/>
          <w:color w:val="000000"/>
          <w:spacing w:val="8"/>
          <w:kern w:val="0"/>
        </w:rPr>
      </w:pPr>
      <w:r>
        <w:rPr>
          <w:rFonts w:hint="eastAsia"/>
          <w:b/>
          <w:bCs/>
          <w:snapToGrid w:val="0"/>
          <w:color w:val="000000"/>
          <w:spacing w:val="8"/>
          <w:kern w:val="0"/>
        </w:rPr>
        <w:t>1 抽样</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1.1抽样方法</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lang w:val="en-US" w:eastAsia="zh-CN"/>
        </w:rPr>
        <w:t>在企业待销产品中随机抽取有产品质量检验合格证明或者以其他形式表明合格的、近期生产的产品。随机数一般可使用随机数表、随机数骰子或扑克牌等方法产生。</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1.2抽样基数</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抽查样品基数满足抽样数量即可。</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1.3抽样数量</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随机抽取</w:t>
      </w:r>
      <w:r>
        <w:rPr>
          <w:rFonts w:hint="eastAsia"/>
          <w:snapToGrid w:val="0"/>
          <w:color w:val="000000"/>
          <w:spacing w:val="8"/>
          <w:kern w:val="0"/>
          <w:lang w:val="en-US" w:eastAsia="zh-CN"/>
        </w:rPr>
        <w:t>2</w:t>
      </w:r>
      <w:r>
        <w:rPr>
          <w:rFonts w:hint="eastAsia"/>
          <w:snapToGrid w:val="0"/>
          <w:color w:val="000000"/>
          <w:spacing w:val="8"/>
          <w:kern w:val="0"/>
        </w:rPr>
        <w:t xml:space="preserve"> 台产品，其中 </w:t>
      </w:r>
      <w:r>
        <w:rPr>
          <w:rFonts w:hint="eastAsia"/>
          <w:snapToGrid w:val="0"/>
          <w:color w:val="000000"/>
          <w:spacing w:val="8"/>
          <w:kern w:val="0"/>
          <w:lang w:val="en-US" w:eastAsia="zh-CN"/>
        </w:rPr>
        <w:t>1</w:t>
      </w:r>
      <w:r>
        <w:rPr>
          <w:rFonts w:hint="eastAsia"/>
          <w:snapToGrid w:val="0"/>
          <w:color w:val="000000"/>
          <w:spacing w:val="8"/>
          <w:kern w:val="0"/>
        </w:rPr>
        <w:t xml:space="preserve"> 台作为检验样品，</w:t>
      </w:r>
      <w:r>
        <w:rPr>
          <w:rFonts w:hint="eastAsia"/>
          <w:snapToGrid w:val="0"/>
          <w:color w:val="000000"/>
          <w:spacing w:val="8"/>
          <w:kern w:val="0"/>
          <w:lang w:val="en-US" w:eastAsia="zh-CN"/>
        </w:rPr>
        <w:t>1</w:t>
      </w:r>
      <w:r>
        <w:rPr>
          <w:rFonts w:hint="eastAsia"/>
          <w:snapToGrid w:val="0"/>
          <w:color w:val="000000"/>
          <w:spacing w:val="8"/>
          <w:kern w:val="0"/>
        </w:rPr>
        <w:t xml:space="preserve"> 台做备用样品。</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b/>
          <w:bCs/>
          <w:snapToGrid w:val="0"/>
          <w:color w:val="000000"/>
          <w:spacing w:val="8"/>
          <w:kern w:val="0"/>
        </w:rPr>
        <w:t>2 检验项目及检测方法</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表</w:t>
      </w:r>
      <w:r>
        <w:rPr>
          <w:rFonts w:hint="eastAsia"/>
          <w:snapToGrid w:val="0"/>
          <w:color w:val="000000"/>
          <w:spacing w:val="8"/>
          <w:kern w:val="0"/>
          <w:lang w:val="en-US" w:eastAsia="zh-CN"/>
        </w:rPr>
        <w:t>1：</w:t>
      </w:r>
      <w:r>
        <w:rPr>
          <w:rFonts w:hint="eastAsia"/>
          <w:snapToGrid w:val="0"/>
          <w:color w:val="000000"/>
          <w:spacing w:val="8"/>
          <w:kern w:val="0"/>
        </w:rPr>
        <w:t>检验项目</w:t>
      </w:r>
    </w:p>
    <w:tbl>
      <w:tblPr>
        <w:tblStyle w:val="7"/>
        <w:tblW w:w="0" w:type="auto"/>
        <w:tblInd w:w="1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320"/>
        <w:gridCol w:w="3525"/>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bookmarkStart w:id="0" w:name="_GoBack"/>
            <w:r>
              <w:rPr>
                <w:rFonts w:hint="eastAsia"/>
                <w:snapToGrid w:val="0"/>
                <w:color w:val="000000"/>
                <w:spacing w:val="8"/>
                <w:kern w:val="0"/>
              </w:rPr>
              <w:t>序号</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rPr>
              <w:t>检验项目</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eastAsia="宋体"/>
                <w:snapToGrid w:val="0"/>
                <w:color w:val="000000"/>
                <w:spacing w:val="8"/>
                <w:kern w:val="0"/>
                <w:vertAlign w:val="baseline"/>
                <w:lang w:val="en-US" w:eastAsia="zh-CN"/>
              </w:rPr>
            </w:pPr>
            <w:r>
              <w:rPr>
                <w:rFonts w:hint="eastAsia"/>
                <w:snapToGrid w:val="0"/>
                <w:color w:val="000000"/>
                <w:spacing w:val="8"/>
                <w:kern w:val="0"/>
                <w:vertAlign w:val="baseline"/>
                <w:lang w:val="en-US" w:eastAsia="zh-CN"/>
              </w:rPr>
              <w:t>1</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eastAsia="zh-CN"/>
              </w:rPr>
              <w:t>匝间冲击耐压试验</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GB/T281、JB/T11702、GB/T 25409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eastAsia="宋体"/>
                <w:snapToGrid w:val="0"/>
                <w:color w:val="000000"/>
                <w:spacing w:val="8"/>
                <w:kern w:val="0"/>
                <w:vertAlign w:val="baseline"/>
                <w:lang w:val="en-US" w:eastAsia="zh-CN"/>
              </w:rPr>
            </w:pPr>
            <w:r>
              <w:rPr>
                <w:rFonts w:hint="eastAsia"/>
                <w:snapToGrid w:val="0"/>
                <w:color w:val="000000"/>
                <w:spacing w:val="8"/>
                <w:kern w:val="0"/>
                <w:vertAlign w:val="baseline"/>
                <w:lang w:val="en-US" w:eastAsia="zh-CN"/>
              </w:rPr>
              <w:t>2</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eastAsia="zh-CN"/>
              </w:rPr>
              <w:t>保护装置</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GB/T281、JB/T11702、GB/T 25409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eastAsia="宋体"/>
                <w:snapToGrid w:val="0"/>
                <w:color w:val="000000"/>
                <w:spacing w:val="8"/>
                <w:kern w:val="0"/>
                <w:vertAlign w:val="baseline"/>
                <w:lang w:val="en-US" w:eastAsia="zh-CN"/>
              </w:rPr>
            </w:pPr>
            <w:r>
              <w:rPr>
                <w:rFonts w:hint="eastAsia"/>
                <w:snapToGrid w:val="0"/>
                <w:color w:val="000000"/>
                <w:spacing w:val="8"/>
                <w:kern w:val="0"/>
                <w:vertAlign w:val="baseline"/>
                <w:lang w:val="en-US" w:eastAsia="zh-CN"/>
              </w:rPr>
              <w:t>3</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eastAsia="zh-CN"/>
              </w:rPr>
              <w:t>接地</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GB/T281、JB/T11702、GB/T 25409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eastAsia="宋体"/>
                <w:snapToGrid w:val="0"/>
                <w:color w:val="000000"/>
                <w:spacing w:val="8"/>
                <w:kern w:val="0"/>
                <w:vertAlign w:val="baseline"/>
                <w:lang w:val="en-US" w:eastAsia="zh-CN"/>
              </w:rPr>
            </w:pPr>
            <w:r>
              <w:rPr>
                <w:rFonts w:hint="eastAsia"/>
                <w:snapToGrid w:val="0"/>
                <w:color w:val="000000"/>
                <w:spacing w:val="8"/>
                <w:kern w:val="0"/>
                <w:vertAlign w:val="baseline"/>
                <w:lang w:val="en-US" w:eastAsia="zh-CN"/>
              </w:rPr>
              <w:t>4</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eastAsia="zh-CN"/>
              </w:rPr>
              <w:t>电缆线端标志与旋转方向</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GB/T281、JB/T11702、GB/T 25409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eastAsia="宋体"/>
                <w:snapToGrid w:val="0"/>
                <w:color w:val="000000"/>
                <w:spacing w:val="8"/>
                <w:kern w:val="0"/>
                <w:vertAlign w:val="baseline"/>
                <w:lang w:val="en-US" w:eastAsia="zh-CN"/>
              </w:rPr>
            </w:pPr>
            <w:r>
              <w:rPr>
                <w:rFonts w:hint="eastAsia"/>
                <w:snapToGrid w:val="0"/>
                <w:color w:val="000000"/>
                <w:spacing w:val="8"/>
                <w:kern w:val="0"/>
                <w:vertAlign w:val="baseline"/>
                <w:lang w:val="en-US" w:eastAsia="zh-CN"/>
              </w:rPr>
              <w:t>5</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引出电缆</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GB/T281、JB/T11702、GB/T 25409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0" w:type="dxa"/>
            <w:vAlign w:val="center"/>
          </w:tcPr>
          <w:p>
            <w:pPr>
              <w:pStyle w:val="4"/>
              <w:widowControl/>
              <w:kinsoku w:val="0"/>
              <w:autoSpaceDE w:val="0"/>
              <w:autoSpaceDN w:val="0"/>
              <w:adjustRightInd w:val="0"/>
              <w:snapToGrid w:val="0"/>
              <w:spacing w:before="30" w:line="417" w:lineRule="auto"/>
              <w:jc w:val="center"/>
              <w:textAlignment w:val="baseline"/>
              <w:rPr>
                <w:rFonts w:hint="eastAsia" w:eastAsia="宋体"/>
                <w:snapToGrid w:val="0"/>
                <w:color w:val="000000"/>
                <w:spacing w:val="8"/>
                <w:kern w:val="0"/>
                <w:vertAlign w:val="baseline"/>
                <w:lang w:val="en-US" w:eastAsia="zh-CN"/>
              </w:rPr>
            </w:pPr>
            <w:r>
              <w:rPr>
                <w:rFonts w:hint="eastAsia"/>
                <w:snapToGrid w:val="0"/>
                <w:color w:val="000000"/>
                <w:spacing w:val="8"/>
                <w:kern w:val="0"/>
                <w:vertAlign w:val="baseline"/>
                <w:lang w:val="en-US" w:eastAsia="zh-CN"/>
              </w:rPr>
              <w:t>6</w:t>
            </w:r>
          </w:p>
        </w:tc>
        <w:tc>
          <w:tcPr>
            <w:tcW w:w="3525"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eastAsia="zh-CN"/>
              </w:rPr>
              <w:t>装配要求</w:t>
            </w:r>
          </w:p>
        </w:tc>
        <w:tc>
          <w:tcPr>
            <w:tcW w:w="3780" w:type="dxa"/>
            <w:vAlign w:val="center"/>
          </w:tcPr>
          <w:p>
            <w:pPr>
              <w:pStyle w:val="4"/>
              <w:widowControl/>
              <w:kinsoku w:val="0"/>
              <w:autoSpaceDE w:val="0"/>
              <w:autoSpaceDN w:val="0"/>
              <w:adjustRightInd w:val="0"/>
              <w:snapToGrid w:val="0"/>
              <w:spacing w:before="30" w:line="417" w:lineRule="auto"/>
              <w:jc w:val="center"/>
              <w:textAlignment w:val="baseline"/>
              <w:rPr>
                <w:rFonts w:hint="eastAsia"/>
                <w:snapToGrid w:val="0"/>
                <w:color w:val="000000"/>
                <w:spacing w:val="8"/>
                <w:kern w:val="0"/>
                <w:vertAlign w:val="baseline"/>
              </w:rPr>
            </w:pPr>
            <w:r>
              <w:rPr>
                <w:rFonts w:hint="eastAsia"/>
                <w:snapToGrid w:val="0"/>
                <w:color w:val="000000"/>
                <w:spacing w:val="8"/>
                <w:kern w:val="0"/>
                <w:lang w:val="en-US" w:eastAsia="zh-CN"/>
              </w:rPr>
              <w:t>GB/T281、JB/T11702、GB/T 25409</w:t>
            </w:r>
          </w:p>
        </w:tc>
      </w:tr>
      <w:bookmarkEnd w:id="0"/>
    </w:tbl>
    <w:p>
      <w:pPr>
        <w:pStyle w:val="4"/>
        <w:widowControl/>
        <w:kinsoku w:val="0"/>
        <w:autoSpaceDE w:val="0"/>
        <w:autoSpaceDN w:val="0"/>
        <w:adjustRightInd w:val="0"/>
        <w:snapToGrid w:val="0"/>
        <w:spacing w:before="30" w:line="417" w:lineRule="auto"/>
        <w:ind w:firstLine="432" w:firstLineChars="200"/>
        <w:jc w:val="left"/>
        <w:textAlignment w:val="baseline"/>
        <w:rPr>
          <w:rFonts w:hint="eastAsia"/>
          <w:snapToGrid w:val="0"/>
          <w:color w:val="000000"/>
          <w:spacing w:val="8"/>
          <w:kern w:val="0"/>
        </w:rPr>
      </w:pPr>
      <w:r>
        <w:rPr>
          <w:rFonts w:hint="eastAsia"/>
          <w:snapToGrid w:val="0"/>
          <w:color w:val="000000"/>
          <w:spacing w:val="8"/>
          <w:kern w:val="0"/>
        </w:rPr>
        <w:t>注：上表所列检验项目是有关法律法规、标准等规定的，重点涉及健康、安全、节能、环保以及消费者、有关组织反映有质量问题的重要项目。</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执行企业标准、团体标准、地方标准的产品，检验项目参照上述内容执行。</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凡是注日期的文件，其随后所有的修改单（不包括勘误的内容）或修订版不适用于本细则。凡是不注日期的文件，其最新版本适用于本细则。</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产品明示标准未标注年代号的，检验时根据生产日期选择有效的执行标准。</w:t>
      </w:r>
    </w:p>
    <w:p>
      <w:pPr>
        <w:pStyle w:val="4"/>
        <w:widowControl/>
        <w:kinsoku w:val="0"/>
        <w:autoSpaceDE w:val="0"/>
        <w:autoSpaceDN w:val="0"/>
        <w:adjustRightInd w:val="0"/>
        <w:snapToGrid w:val="0"/>
        <w:spacing w:before="30" w:line="417" w:lineRule="auto"/>
        <w:ind w:left="5" w:firstLine="418"/>
        <w:jc w:val="left"/>
        <w:textAlignment w:val="baseline"/>
        <w:rPr>
          <w:rFonts w:hint="eastAsia"/>
          <w:b/>
          <w:bCs/>
          <w:snapToGrid w:val="0"/>
          <w:color w:val="000000"/>
          <w:spacing w:val="8"/>
          <w:kern w:val="0"/>
        </w:rPr>
      </w:pPr>
      <w:r>
        <w:rPr>
          <w:rFonts w:hint="eastAsia"/>
          <w:b/>
          <w:bCs/>
          <w:snapToGrid w:val="0"/>
          <w:color w:val="000000"/>
          <w:spacing w:val="8"/>
          <w:kern w:val="0"/>
        </w:rPr>
        <w:t>3 判定规则</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3.1标准依据</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lang w:val="en-US" w:eastAsia="zh-CN"/>
        </w:rPr>
      </w:pPr>
      <w:r>
        <w:rPr>
          <w:rFonts w:hint="eastAsia"/>
          <w:snapToGrid w:val="0"/>
          <w:color w:val="000000"/>
          <w:spacing w:val="8"/>
          <w:kern w:val="0"/>
          <w:lang w:val="en-US" w:eastAsia="zh-CN"/>
        </w:rPr>
        <w:t>GB/T2816  井用潜水泵</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lang w:val="en-US" w:eastAsia="zh-CN"/>
        </w:rPr>
      </w:pPr>
      <w:r>
        <w:rPr>
          <w:rFonts w:hint="eastAsia"/>
          <w:snapToGrid w:val="0"/>
          <w:color w:val="000000"/>
          <w:spacing w:val="8"/>
          <w:kern w:val="0"/>
          <w:lang w:val="en-US" w:eastAsia="zh-CN"/>
        </w:rPr>
        <w:t>JB/T 11702 家用潜水泵用电容式电动机技术条件</w:t>
      </w:r>
    </w:p>
    <w:p>
      <w:pPr>
        <w:pStyle w:val="4"/>
        <w:widowControl/>
        <w:kinsoku w:val="0"/>
        <w:autoSpaceDE w:val="0"/>
        <w:autoSpaceDN w:val="0"/>
        <w:adjustRightInd w:val="0"/>
        <w:snapToGrid w:val="0"/>
        <w:spacing w:before="30" w:line="417" w:lineRule="auto"/>
        <w:ind w:left="5" w:firstLine="418"/>
        <w:jc w:val="left"/>
        <w:textAlignment w:val="baseline"/>
        <w:rPr>
          <w:rFonts w:hint="default"/>
          <w:snapToGrid w:val="0"/>
          <w:color w:val="000000"/>
          <w:spacing w:val="8"/>
          <w:kern w:val="0"/>
          <w:lang w:val="en-US" w:eastAsia="zh-CN"/>
        </w:rPr>
      </w:pPr>
      <w:r>
        <w:rPr>
          <w:rFonts w:hint="eastAsia"/>
          <w:snapToGrid w:val="0"/>
          <w:color w:val="000000"/>
          <w:spacing w:val="8"/>
          <w:kern w:val="0"/>
          <w:lang w:val="en-US" w:eastAsia="zh-CN"/>
        </w:rPr>
        <w:t>GB/T 25409 小型潜水电泵</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相关的法律、行政法规、部门规章、规范性文件</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现行有效的企业标准、团体标准、地方标准及产品明示质量要求</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3.2判定原则</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经检验，检验项目全部合格，判定为被抽查产品所检项目合格；检验项目中任一项或一项以上不合格，判定为被抽查产品不合格。</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若被检产品明示的质量要求高于本细则中检验项目依据的标准要求时，应按被检产品明示的质量要求判定。</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若被检产品明示的质量要求低于本细则中检验项目依据的强制性标准要求时，应按照强制性标准要求判定。</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若被检产品明示的质量要求低于或包含细则中检验项目依据的推荐性标准要求时，应以被检产品明示的质量要求判定，但应在检验报告备注中进行说明。</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若被检产品明示的质量要求缺少本细则中检验项目依据的强制性标准要求时，应按照强制性标准要求判定。</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若被检产品明示的质量要求缺少本细则中检验项目依据的推荐性标准要求时，该项目不参与判定，但应在检验报告备注中进行说明。</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b/>
          <w:bCs/>
          <w:snapToGrid w:val="0"/>
          <w:color w:val="000000"/>
          <w:spacing w:val="8"/>
          <w:kern w:val="0"/>
        </w:rPr>
        <w:t>4 异议复检</w:t>
      </w:r>
      <w:r>
        <w:rPr>
          <w:rFonts w:hint="eastAsia"/>
          <w:snapToGrid w:val="0"/>
          <w:color w:val="000000"/>
          <w:spacing w:val="8"/>
          <w:kern w:val="0"/>
        </w:rPr>
        <w:t xml:space="preserve"> </w:t>
      </w:r>
    </w:p>
    <w:p>
      <w:pPr>
        <w:pStyle w:val="4"/>
        <w:widowControl/>
        <w:kinsoku w:val="0"/>
        <w:autoSpaceDE w:val="0"/>
        <w:autoSpaceDN w:val="0"/>
        <w:adjustRightInd w:val="0"/>
        <w:snapToGrid w:val="0"/>
        <w:spacing w:before="30" w:line="417" w:lineRule="auto"/>
        <w:ind w:left="5" w:firstLine="418"/>
        <w:jc w:val="left"/>
        <w:textAlignment w:val="baseline"/>
        <w:rPr>
          <w:rFonts w:hint="eastAsia"/>
          <w:snapToGrid w:val="0"/>
          <w:color w:val="000000"/>
          <w:spacing w:val="8"/>
          <w:kern w:val="0"/>
        </w:rPr>
      </w:pPr>
      <w:r>
        <w:rPr>
          <w:rFonts w:hint="eastAsia"/>
          <w:snapToGrid w:val="0"/>
          <w:color w:val="000000"/>
          <w:spacing w:val="8"/>
          <w:kern w:val="0"/>
        </w:rPr>
        <w:t>本细则中确定的全部检验项目，采用备用样品进行复检。</w:t>
      </w:r>
    </w:p>
    <w:sectPr>
      <w:pgSz w:w="11906" w:h="16838"/>
      <w:pgMar w:top="1417" w:right="1474"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OWJjZWRlNDJjM2M1M2M2MDEzY2Y5NzZiODM0N2MifQ=="/>
    <w:docVar w:name="KSO_WPS_MARK_KEY" w:val="826e3fbe-1e4c-4415-83ef-81017550a59c"/>
  </w:docVars>
  <w:rsids>
    <w:rsidRoot w:val="00D20679"/>
    <w:rsid w:val="00063DD3"/>
    <w:rsid w:val="001863C4"/>
    <w:rsid w:val="00276E33"/>
    <w:rsid w:val="00343254"/>
    <w:rsid w:val="00363CCE"/>
    <w:rsid w:val="003C2423"/>
    <w:rsid w:val="00426E68"/>
    <w:rsid w:val="005D4DF9"/>
    <w:rsid w:val="00702323"/>
    <w:rsid w:val="007236AF"/>
    <w:rsid w:val="008652D9"/>
    <w:rsid w:val="009373EF"/>
    <w:rsid w:val="00994753"/>
    <w:rsid w:val="00AF6F53"/>
    <w:rsid w:val="00C418C9"/>
    <w:rsid w:val="00D16530"/>
    <w:rsid w:val="00D20679"/>
    <w:rsid w:val="00EA1E84"/>
    <w:rsid w:val="00EA7B9C"/>
    <w:rsid w:val="00EC28ED"/>
    <w:rsid w:val="015772A4"/>
    <w:rsid w:val="01AA3877"/>
    <w:rsid w:val="02317AF5"/>
    <w:rsid w:val="02BA3F8E"/>
    <w:rsid w:val="02D32397"/>
    <w:rsid w:val="032C4E8C"/>
    <w:rsid w:val="03A8028B"/>
    <w:rsid w:val="03F86B1C"/>
    <w:rsid w:val="044E2BE0"/>
    <w:rsid w:val="049727D9"/>
    <w:rsid w:val="054162A1"/>
    <w:rsid w:val="05663F59"/>
    <w:rsid w:val="05F45A09"/>
    <w:rsid w:val="06BD404D"/>
    <w:rsid w:val="079B3139"/>
    <w:rsid w:val="07B94814"/>
    <w:rsid w:val="07D93108"/>
    <w:rsid w:val="08395955"/>
    <w:rsid w:val="086A3D60"/>
    <w:rsid w:val="09287EA3"/>
    <w:rsid w:val="092B7994"/>
    <w:rsid w:val="09AB63DF"/>
    <w:rsid w:val="09E518F1"/>
    <w:rsid w:val="0A59408D"/>
    <w:rsid w:val="0A756AB2"/>
    <w:rsid w:val="0C0F0EA7"/>
    <w:rsid w:val="0CA02447"/>
    <w:rsid w:val="0CFF53BF"/>
    <w:rsid w:val="0DD423A8"/>
    <w:rsid w:val="0E51088B"/>
    <w:rsid w:val="0F31382A"/>
    <w:rsid w:val="0F60092D"/>
    <w:rsid w:val="0FCC2150"/>
    <w:rsid w:val="0FFD54BA"/>
    <w:rsid w:val="105772C0"/>
    <w:rsid w:val="10F3513F"/>
    <w:rsid w:val="115B693C"/>
    <w:rsid w:val="128B4FFF"/>
    <w:rsid w:val="132A0CBC"/>
    <w:rsid w:val="133833D9"/>
    <w:rsid w:val="139B3968"/>
    <w:rsid w:val="14E530ED"/>
    <w:rsid w:val="15D95027"/>
    <w:rsid w:val="15E2762C"/>
    <w:rsid w:val="15E74C42"/>
    <w:rsid w:val="16B94831"/>
    <w:rsid w:val="16BF796D"/>
    <w:rsid w:val="16F70EB5"/>
    <w:rsid w:val="17143033"/>
    <w:rsid w:val="172F4AF3"/>
    <w:rsid w:val="17334527"/>
    <w:rsid w:val="174658D3"/>
    <w:rsid w:val="18025D64"/>
    <w:rsid w:val="180E64B6"/>
    <w:rsid w:val="18DA0A8E"/>
    <w:rsid w:val="196640D0"/>
    <w:rsid w:val="1A18363D"/>
    <w:rsid w:val="1A41067B"/>
    <w:rsid w:val="1A4C32C6"/>
    <w:rsid w:val="1AC9700C"/>
    <w:rsid w:val="1B481CDF"/>
    <w:rsid w:val="1BB43819"/>
    <w:rsid w:val="1C5B1EE6"/>
    <w:rsid w:val="1CAF0084"/>
    <w:rsid w:val="1CE123EB"/>
    <w:rsid w:val="1D097B94"/>
    <w:rsid w:val="1D750D86"/>
    <w:rsid w:val="1ED044E3"/>
    <w:rsid w:val="1F941997"/>
    <w:rsid w:val="200D1749"/>
    <w:rsid w:val="2020322B"/>
    <w:rsid w:val="207D242B"/>
    <w:rsid w:val="20DF30E6"/>
    <w:rsid w:val="21274A8D"/>
    <w:rsid w:val="221072CF"/>
    <w:rsid w:val="221F7512"/>
    <w:rsid w:val="22325F30"/>
    <w:rsid w:val="223A3849"/>
    <w:rsid w:val="22BE6D2B"/>
    <w:rsid w:val="239161EE"/>
    <w:rsid w:val="24303C58"/>
    <w:rsid w:val="243B4AD7"/>
    <w:rsid w:val="25F807A6"/>
    <w:rsid w:val="265005E2"/>
    <w:rsid w:val="2677273A"/>
    <w:rsid w:val="27C9064C"/>
    <w:rsid w:val="283D279D"/>
    <w:rsid w:val="2858552C"/>
    <w:rsid w:val="28A864B3"/>
    <w:rsid w:val="28C01A4F"/>
    <w:rsid w:val="2B1E2A5D"/>
    <w:rsid w:val="2B28751A"/>
    <w:rsid w:val="2B4C1378"/>
    <w:rsid w:val="2B5C5333"/>
    <w:rsid w:val="2C736DD8"/>
    <w:rsid w:val="2C882884"/>
    <w:rsid w:val="2D8E211C"/>
    <w:rsid w:val="2DB55DF1"/>
    <w:rsid w:val="2DC518B5"/>
    <w:rsid w:val="2E5A0250"/>
    <w:rsid w:val="2E8250B1"/>
    <w:rsid w:val="2E8452CD"/>
    <w:rsid w:val="2E89643F"/>
    <w:rsid w:val="2EC2548D"/>
    <w:rsid w:val="2EF44200"/>
    <w:rsid w:val="2F9F7B5B"/>
    <w:rsid w:val="301B57BD"/>
    <w:rsid w:val="307153DD"/>
    <w:rsid w:val="3112096E"/>
    <w:rsid w:val="31374878"/>
    <w:rsid w:val="315C42DF"/>
    <w:rsid w:val="320F4EAD"/>
    <w:rsid w:val="32222E32"/>
    <w:rsid w:val="324504BA"/>
    <w:rsid w:val="33D91C17"/>
    <w:rsid w:val="34A71D15"/>
    <w:rsid w:val="353A66E5"/>
    <w:rsid w:val="356F3E30"/>
    <w:rsid w:val="35956011"/>
    <w:rsid w:val="360A4309"/>
    <w:rsid w:val="3627310D"/>
    <w:rsid w:val="36394BEF"/>
    <w:rsid w:val="364041CF"/>
    <w:rsid w:val="36484E32"/>
    <w:rsid w:val="37397DA9"/>
    <w:rsid w:val="37BC7885"/>
    <w:rsid w:val="3A4F2C33"/>
    <w:rsid w:val="3AE0388B"/>
    <w:rsid w:val="3AEE41FA"/>
    <w:rsid w:val="3AF9494C"/>
    <w:rsid w:val="3BB014AF"/>
    <w:rsid w:val="3BEE61FC"/>
    <w:rsid w:val="3BF03FA1"/>
    <w:rsid w:val="3C047A4D"/>
    <w:rsid w:val="3C4340D1"/>
    <w:rsid w:val="3C495460"/>
    <w:rsid w:val="3C655E40"/>
    <w:rsid w:val="3CD72A6B"/>
    <w:rsid w:val="3D0106F2"/>
    <w:rsid w:val="3EBE0387"/>
    <w:rsid w:val="3F837AE3"/>
    <w:rsid w:val="409C46F8"/>
    <w:rsid w:val="40AA0BC3"/>
    <w:rsid w:val="40DC4251"/>
    <w:rsid w:val="41474664"/>
    <w:rsid w:val="41A41AB6"/>
    <w:rsid w:val="42415557"/>
    <w:rsid w:val="4283791D"/>
    <w:rsid w:val="429F227D"/>
    <w:rsid w:val="42B96E85"/>
    <w:rsid w:val="43122A4F"/>
    <w:rsid w:val="43E048FB"/>
    <w:rsid w:val="4467501D"/>
    <w:rsid w:val="44F468B0"/>
    <w:rsid w:val="45482758"/>
    <w:rsid w:val="45F60406"/>
    <w:rsid w:val="466A4950"/>
    <w:rsid w:val="46AC4F69"/>
    <w:rsid w:val="46BA0456"/>
    <w:rsid w:val="46C73B51"/>
    <w:rsid w:val="471C61D6"/>
    <w:rsid w:val="4723347D"/>
    <w:rsid w:val="474D22A8"/>
    <w:rsid w:val="49695393"/>
    <w:rsid w:val="498D72D3"/>
    <w:rsid w:val="49B605D8"/>
    <w:rsid w:val="4A631DE2"/>
    <w:rsid w:val="4AB663B6"/>
    <w:rsid w:val="4ACC3560"/>
    <w:rsid w:val="4AE178D7"/>
    <w:rsid w:val="4AEA6060"/>
    <w:rsid w:val="4CEC2563"/>
    <w:rsid w:val="4E4D5283"/>
    <w:rsid w:val="4EEC05F8"/>
    <w:rsid w:val="4FBA6948"/>
    <w:rsid w:val="4FFA0AF3"/>
    <w:rsid w:val="50081462"/>
    <w:rsid w:val="50D5061B"/>
    <w:rsid w:val="5100038B"/>
    <w:rsid w:val="51281690"/>
    <w:rsid w:val="512F2A1E"/>
    <w:rsid w:val="515C2DD9"/>
    <w:rsid w:val="519531C9"/>
    <w:rsid w:val="51DA6E2E"/>
    <w:rsid w:val="52AA2CA4"/>
    <w:rsid w:val="53071EA5"/>
    <w:rsid w:val="531714D2"/>
    <w:rsid w:val="538434F5"/>
    <w:rsid w:val="54297BF9"/>
    <w:rsid w:val="54556C40"/>
    <w:rsid w:val="54727784"/>
    <w:rsid w:val="54AD082A"/>
    <w:rsid w:val="55886BA1"/>
    <w:rsid w:val="55AF2380"/>
    <w:rsid w:val="56941CA1"/>
    <w:rsid w:val="56BC2FA6"/>
    <w:rsid w:val="571B41B0"/>
    <w:rsid w:val="57272B15"/>
    <w:rsid w:val="57F64296"/>
    <w:rsid w:val="58550FBC"/>
    <w:rsid w:val="5895585D"/>
    <w:rsid w:val="58BF6D7E"/>
    <w:rsid w:val="5938578E"/>
    <w:rsid w:val="595A2602"/>
    <w:rsid w:val="59863746"/>
    <w:rsid w:val="59AC10B0"/>
    <w:rsid w:val="5A5534F6"/>
    <w:rsid w:val="5AAE0E58"/>
    <w:rsid w:val="5AF70A51"/>
    <w:rsid w:val="5B6836FC"/>
    <w:rsid w:val="5BB71F8E"/>
    <w:rsid w:val="5BCD355F"/>
    <w:rsid w:val="5BFD3E45"/>
    <w:rsid w:val="5C49708A"/>
    <w:rsid w:val="5C4B1054"/>
    <w:rsid w:val="5C69772C"/>
    <w:rsid w:val="5C8400C2"/>
    <w:rsid w:val="5D1A27D4"/>
    <w:rsid w:val="5D20178F"/>
    <w:rsid w:val="5D775890"/>
    <w:rsid w:val="5E5F1370"/>
    <w:rsid w:val="5F9920D6"/>
    <w:rsid w:val="5FE01AB3"/>
    <w:rsid w:val="60D1764E"/>
    <w:rsid w:val="60E92BEA"/>
    <w:rsid w:val="60EF1767"/>
    <w:rsid w:val="612956DC"/>
    <w:rsid w:val="612E684E"/>
    <w:rsid w:val="617821BF"/>
    <w:rsid w:val="62053A53"/>
    <w:rsid w:val="622D6B06"/>
    <w:rsid w:val="62A56FE4"/>
    <w:rsid w:val="631A52DC"/>
    <w:rsid w:val="631D6B7A"/>
    <w:rsid w:val="63CC234F"/>
    <w:rsid w:val="64032214"/>
    <w:rsid w:val="644665A5"/>
    <w:rsid w:val="64A70DF2"/>
    <w:rsid w:val="64A86918"/>
    <w:rsid w:val="65206DF6"/>
    <w:rsid w:val="65890148"/>
    <w:rsid w:val="66C0263F"/>
    <w:rsid w:val="67BE358C"/>
    <w:rsid w:val="67DD0FCE"/>
    <w:rsid w:val="680A62EC"/>
    <w:rsid w:val="682E2526"/>
    <w:rsid w:val="687C5F02"/>
    <w:rsid w:val="69AA4EE0"/>
    <w:rsid w:val="6AA638F9"/>
    <w:rsid w:val="6ACA3A8C"/>
    <w:rsid w:val="6BD36970"/>
    <w:rsid w:val="6C2076DB"/>
    <w:rsid w:val="6C276CBC"/>
    <w:rsid w:val="6C6770B8"/>
    <w:rsid w:val="6CE30E35"/>
    <w:rsid w:val="6CFB3DD0"/>
    <w:rsid w:val="6D187086"/>
    <w:rsid w:val="6D9D5488"/>
    <w:rsid w:val="6EC10D02"/>
    <w:rsid w:val="71176147"/>
    <w:rsid w:val="71CC633B"/>
    <w:rsid w:val="730218E9"/>
    <w:rsid w:val="733046A8"/>
    <w:rsid w:val="739F35DC"/>
    <w:rsid w:val="73E334C8"/>
    <w:rsid w:val="743326A2"/>
    <w:rsid w:val="74392B58"/>
    <w:rsid w:val="748527D2"/>
    <w:rsid w:val="74980757"/>
    <w:rsid w:val="74FD4A5E"/>
    <w:rsid w:val="74FF07D6"/>
    <w:rsid w:val="7521074C"/>
    <w:rsid w:val="752124FA"/>
    <w:rsid w:val="75582134"/>
    <w:rsid w:val="75A66EA3"/>
    <w:rsid w:val="75B73142"/>
    <w:rsid w:val="75E4177A"/>
    <w:rsid w:val="76AD3810"/>
    <w:rsid w:val="76C53359"/>
    <w:rsid w:val="77B27D81"/>
    <w:rsid w:val="796B01E8"/>
    <w:rsid w:val="7A3031E0"/>
    <w:rsid w:val="7A613399"/>
    <w:rsid w:val="7A707A80"/>
    <w:rsid w:val="7BA2010D"/>
    <w:rsid w:val="7BD858DD"/>
    <w:rsid w:val="7C686C61"/>
    <w:rsid w:val="7CE7227B"/>
    <w:rsid w:val="7DD56578"/>
    <w:rsid w:val="7DFD5ACF"/>
    <w:rsid w:val="7EEB3B79"/>
    <w:rsid w:val="7F604567"/>
    <w:rsid w:val="7F82628B"/>
    <w:rsid w:val="FB7F9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9"/>
    <w:qFormat/>
    <w:uiPriority w:val="99"/>
    <w:pPr>
      <w:jc w:val="left"/>
    </w:pPr>
  </w:style>
  <w:style w:type="paragraph" w:styleId="4">
    <w:name w:val="Body Text"/>
    <w:basedOn w:val="1"/>
    <w:semiHidden/>
    <w:qFormat/>
    <w:uiPriority w:val="0"/>
    <w:rPr>
      <w:rFonts w:ascii="宋体" w:hAnsi="宋体" w:eastAsia="宋体" w:cs="宋体"/>
      <w:sz w:val="20"/>
      <w:szCs w:val="20"/>
      <w:lang w:val="en-US" w:eastAsia="en-US" w:bidi="ar-SA"/>
    </w:rPr>
  </w:style>
  <w:style w:type="paragraph" w:styleId="5">
    <w:name w:val="Balloon Text"/>
    <w:basedOn w:val="1"/>
    <w:link w:val="10"/>
    <w:qFormat/>
    <w:uiPriority w:val="0"/>
    <w:rPr>
      <w:rFonts w:asciiTheme="minorHAnsi" w:hAnsiTheme="minorHAnsi" w:eastAsiaTheme="minorEastAsia" w:cstheme="minorBidi"/>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文字 字符"/>
    <w:basedOn w:val="8"/>
    <w:link w:val="3"/>
    <w:qFormat/>
    <w:uiPriority w:val="99"/>
    <w:rPr>
      <w:rFonts w:ascii="Calibri" w:hAnsi="Calibri" w:eastAsia="宋体" w:cs="Times New Roman"/>
    </w:rPr>
  </w:style>
  <w:style w:type="character" w:customStyle="1" w:styleId="10">
    <w:name w:val="批注框文本 字符"/>
    <w:basedOn w:val="8"/>
    <w:link w:val="5"/>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877</Words>
  <Characters>1072</Characters>
  <Lines>29</Lines>
  <Paragraphs>8</Paragraphs>
  <TotalTime>4</TotalTime>
  <ScaleCrop>false</ScaleCrop>
  <LinksUpToDate>false</LinksUpToDate>
  <CharactersWithSpaces>1087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2022-11-25T21:12:00Z</dcterms:created>
  <dc:creator>Wheng</dc:creator>
  <cp:lastModifiedBy>逐光</cp:lastModifiedBy>
  <dcterms:modified xsi:type="dcterms:W3CDTF">2024-06-21T05:52:11Z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63186490C46445A0B4A784926FCF2D8F</vt:lpwstr>
  </property>
</Properties>
</file>