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一次性竹木筷含（竹砧板）</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eastAsia="宋体" w:cs="宋体"/>
          <w:b/>
          <w:bCs/>
          <w:color w:val="000000"/>
          <w:sz w:val="32"/>
          <w:szCs w:val="32"/>
        </w:rPr>
        <w:t>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1.3抽样数量</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default" w:ascii="宋体" w:hAnsi="宋体" w:cs="宋体"/>
          <w:color w:val="000000"/>
          <w:sz w:val="28"/>
          <w:szCs w:val="28"/>
          <w:lang w:val="en-US" w:eastAsia="zh-CN"/>
        </w:rPr>
      </w:pPr>
      <w:r>
        <w:rPr>
          <w:rFonts w:hint="eastAsia" w:ascii="宋体" w:hAnsi="宋体" w:eastAsia="宋体" w:cs="宋体"/>
          <w:color w:val="000000"/>
          <w:sz w:val="28"/>
          <w:szCs w:val="28"/>
          <w:lang w:val="en-US" w:eastAsia="zh-CN"/>
        </w:rPr>
        <w:t>一次性筷子</w:t>
      </w:r>
      <w:r>
        <w:rPr>
          <w:rFonts w:hint="eastAsia" w:ascii="宋体" w:hAnsi="宋体" w:cs="宋体"/>
          <w:color w:val="000000"/>
          <w:sz w:val="28"/>
          <w:szCs w:val="28"/>
          <w:lang w:val="en-US" w:eastAsia="zh-CN"/>
        </w:rPr>
        <w:t>：每批次产品抽取样品200双，其中100双作为检验样品，100双作为备用样品。</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GB"/>
        </w:rPr>
      </w:pPr>
      <w:r>
        <w:rPr>
          <w:rFonts w:hint="eastAsia" w:ascii="宋体" w:hAnsi="宋体" w:cs="宋体"/>
          <w:color w:val="000000"/>
          <w:sz w:val="28"/>
          <w:szCs w:val="28"/>
          <w:shd w:val="clear"/>
          <w:lang w:val="en-US" w:eastAsia="zh-CN"/>
        </w:rPr>
        <w:t>竹木砧板：</w:t>
      </w:r>
      <w:r>
        <w:rPr>
          <w:rFonts w:hint="eastAsia" w:ascii="宋体" w:hAnsi="宋体" w:eastAsia="宋体" w:cs="宋体"/>
          <w:color w:val="000000"/>
          <w:sz w:val="28"/>
          <w:szCs w:val="28"/>
          <w:lang w:val="en-GB"/>
        </w:rPr>
        <w:t>每批次产品抽取样品 3 个，其中 2 个作为检验样品，1 个作为备用样品。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一次性筷子-竹筷</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blHeader/>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大肠菌群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14934-2016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沙门氏菌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14934-2016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噻苯咪</w:t>
            </w:r>
            <w:r>
              <w:rPr>
                <w:rFonts w:hint="eastAsia" w:ascii="宋体" w:hAnsi="宋体" w:eastAsia="宋体" w:cs="宋体"/>
                <w:spacing w:val="-2"/>
                <w:sz w:val="28"/>
                <w:szCs w:val="28"/>
              </w:rPr>
              <w:t>唑</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邻苯基苯酚</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4806.12-2022</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联苯</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抑霉唑</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19790.2-2005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二氧化硫浸出量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5009.34-2016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 一次性筷子</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甲醛</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二氧化</w:t>
            </w:r>
            <w:r>
              <w:rPr>
                <w:rFonts w:hint="eastAsia" w:ascii="宋体" w:hAnsi="宋体" w:eastAsia="宋体" w:cs="宋体"/>
                <w:spacing w:val="8"/>
                <w:sz w:val="28"/>
                <w:szCs w:val="28"/>
              </w:rPr>
              <w:t>硫</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8"/>
                <w:sz w:val="28"/>
                <w:szCs w:val="28"/>
              </w:rPr>
              <w:t>噻菌灵</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8"/>
                <w:sz w:val="28"/>
                <w:szCs w:val="28"/>
              </w:rPr>
              <w:t>邻苯基苯酚</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8"/>
                <w:sz w:val="28"/>
                <w:szCs w:val="28"/>
              </w:rPr>
              <w:t>抑霉唑</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8"/>
                <w:sz w:val="28"/>
                <w:szCs w:val="28"/>
              </w:rPr>
              <w:t>联苯</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8"/>
                <w:sz w:val="28"/>
                <w:szCs w:val="28"/>
              </w:rPr>
              <w:t>大肠菌</w:t>
            </w:r>
            <w:r>
              <w:rPr>
                <w:rFonts w:hint="eastAsia" w:ascii="宋体" w:hAnsi="宋体" w:eastAsia="宋体" w:cs="宋体"/>
                <w:spacing w:val="-3"/>
                <w:sz w:val="28"/>
                <w:szCs w:val="28"/>
              </w:rPr>
              <w:t>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沙门氏菌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color w:val="000000"/>
          <w:sz w:val="28"/>
          <w:szCs w:val="28"/>
          <w:lang w:val="en-US" w:eastAsia="zh-CN"/>
        </w:rPr>
      </w:pPr>
      <w:r>
        <w:rPr>
          <w:rFonts w:hint="eastAsia" w:ascii="宋体" w:hAnsi="宋体" w:cs="宋体"/>
          <w:color w:val="000000"/>
          <w:sz w:val="28"/>
          <w:szCs w:val="28"/>
          <w:lang w:val="en-US" w:eastAsia="zh-CN"/>
        </w:rPr>
        <w:t xml:space="preserve">表3 </w:t>
      </w:r>
      <w:r>
        <w:rPr>
          <w:rFonts w:hint="eastAsia" w:ascii="宋体" w:hAnsi="宋体" w:cs="宋体"/>
          <w:color w:val="000000"/>
          <w:sz w:val="28"/>
          <w:szCs w:val="28"/>
          <w:shd w:val="clear"/>
          <w:lang w:val="en-US" w:eastAsia="zh-CN"/>
        </w:rPr>
        <w:t>竹木砧板检验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甲醛</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二氧化</w:t>
            </w:r>
            <w:r>
              <w:rPr>
                <w:rFonts w:hint="eastAsia" w:ascii="宋体" w:hAnsi="宋体" w:eastAsia="宋体" w:cs="宋体"/>
                <w:spacing w:val="-1"/>
                <w:sz w:val="28"/>
                <w:szCs w:val="28"/>
              </w:rPr>
              <w:t>硫</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噻菌灵</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邻苯基苯酚</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抑霉唑</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联苯</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大肠菌群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cs="宋体"/>
                <w:sz w:val="28"/>
                <w:szCs w:val="28"/>
                <w:lang w:val="en-US" w:eastAsia="zh-CN"/>
              </w:rPr>
            </w:pPr>
            <w:r>
              <w:rPr>
                <w:rFonts w:hint="eastAsia" w:ascii="宋体" w:hAnsi="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pacing w:val="-4"/>
                <w:sz w:val="28"/>
                <w:szCs w:val="28"/>
              </w:rPr>
            </w:pPr>
            <w:r>
              <w:rPr>
                <w:rFonts w:hint="eastAsia" w:ascii="宋体" w:hAnsi="宋体" w:eastAsia="宋体" w:cs="宋体"/>
                <w:spacing w:val="-4"/>
                <w:sz w:val="28"/>
                <w:szCs w:val="28"/>
              </w:rPr>
              <w:t>沙门氏菌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bl>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GB/T 19790.2-2005</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一次性筷子 第2部分：竹筷</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4806.12-2022</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食品接触用竹木材料及制品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本细则中确定的除大肠菌群、沙门氏菌以外的检验项目，采用备用样品进行复检。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本细则中确定的大肠菌群、沙门氏菌检验项目，不进行复检。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6CB0D22"/>
    <w:rsid w:val="07390B6C"/>
    <w:rsid w:val="0ABF7EE6"/>
    <w:rsid w:val="0CA43CE5"/>
    <w:rsid w:val="0E032C8D"/>
    <w:rsid w:val="12786563"/>
    <w:rsid w:val="14FE4DDE"/>
    <w:rsid w:val="16A3500D"/>
    <w:rsid w:val="16D637EF"/>
    <w:rsid w:val="17874F94"/>
    <w:rsid w:val="1A670100"/>
    <w:rsid w:val="1B73636E"/>
    <w:rsid w:val="1CF33ECD"/>
    <w:rsid w:val="1D1B406E"/>
    <w:rsid w:val="1F7B6EFD"/>
    <w:rsid w:val="241910E8"/>
    <w:rsid w:val="283F2992"/>
    <w:rsid w:val="2D643517"/>
    <w:rsid w:val="2EB87681"/>
    <w:rsid w:val="314E774F"/>
    <w:rsid w:val="354B712F"/>
    <w:rsid w:val="3BC01C7E"/>
    <w:rsid w:val="41A80241"/>
    <w:rsid w:val="45C76401"/>
    <w:rsid w:val="477E06E5"/>
    <w:rsid w:val="4D8B108D"/>
    <w:rsid w:val="5314122E"/>
    <w:rsid w:val="55414ED3"/>
    <w:rsid w:val="5BE157B4"/>
    <w:rsid w:val="5EA615D3"/>
    <w:rsid w:val="5ECA5E2A"/>
    <w:rsid w:val="5FF54104"/>
    <w:rsid w:val="617D28A5"/>
    <w:rsid w:val="645070A6"/>
    <w:rsid w:val="665F48FF"/>
    <w:rsid w:val="67582C8C"/>
    <w:rsid w:val="677248BA"/>
    <w:rsid w:val="68310C4D"/>
    <w:rsid w:val="6A876EF6"/>
    <w:rsid w:val="6C096262"/>
    <w:rsid w:val="6F16157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1065</Words>
  <Characters>1505</Characters>
  <Lines>0</Lines>
  <Paragraphs>0</Paragraphs>
  <TotalTime>0</TotalTime>
  <ScaleCrop>false</ScaleCrop>
  <LinksUpToDate>false</LinksUpToDate>
  <CharactersWithSpaces>1557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2024-06-17T06:03:46Z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